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charts/chart18.xml" ContentType="application/vnd.openxmlformats-officedocument.drawingml.chart+xml"/>
  <Override PartName="/word/charts/chart14.xml" ContentType="application/vnd.openxmlformats-officedocument.drawingml.chart+xml"/>
  <Override PartName="/word/charts/chart11.xml" ContentType="application/vnd.openxmlformats-officedocument.drawingml.chart+xml"/>
  <Override PartName="/word/charts/chart10.xml" ContentType="application/vnd.openxmlformats-officedocument.drawingml.chart+xml"/>
  <Override PartName="/word/charts/chart9.xml" ContentType="application/vnd.openxmlformats-officedocument.drawingml.chart+xml"/>
  <Override PartName="/word/charts/chart8.xml" ContentType="application/vnd.openxmlformats-officedocument.drawingml.chart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5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charts/chart15.xml" ContentType="application/vnd.openxmlformats-officedocument.drawingml.chart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harts/chart16.xml" ContentType="application/vnd.openxmlformats-officedocument.drawingml.chart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charts/chart17.xml" ContentType="application/vnd.openxmlformats-officedocument.drawingml.chart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document.xml" ContentType="application/vnd.openxmlformats-officedocument.wordprocessingml.document.main+xml"/>
  <Override PartName="/word/charts/chart19.xml" ContentType="application/vnd.openxmlformats-officedocument.drawingml.chart+xml"/>
  <Override PartName="/word/charts/chart12.xml" ContentType="application/vnd.openxmlformats-officedocument.drawingml.chart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harts/chart13.xml" ContentType="application/vnd.openxmlformats-officedocument.drawingml.chart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b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sz w:val="48"/>
          <w:szCs w:val="48"/>
          <w:highlight w:val="white"/>
        </w:rPr>
      </w:r>
      <w:r>
        <w:rPr>
          <w:rFonts w:ascii="Times New Roman" w:hAnsi="Times New Roman" w:cs="Times New Roman"/>
          <w:b/>
          <w:sz w:val="48"/>
          <w:szCs w:val="48"/>
          <w:highlight w:val="white"/>
        </w:rPr>
      </w:r>
    </w:p>
    <w:p>
      <w:pPr>
        <w:pStyle w:val="659"/>
        <w:jc w:val="center"/>
        <w:spacing w:before="120" w:after="120" w:line="240" w:lineRule="auto"/>
        <w:rPr>
          <w:rFonts w:ascii="Times New Roman" w:hAnsi="Times New Roman" w:cs="Times New Roman"/>
          <w:b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sz w:val="48"/>
          <w:szCs w:val="48"/>
          <w:highlight w:val="white"/>
        </w:rPr>
        <w:t xml:space="preserve">ОТЧЕТ</w:t>
      </w:r>
      <w:r>
        <w:rPr>
          <w:rFonts w:ascii="Times New Roman" w:hAnsi="Times New Roman" w:cs="Times New Roman"/>
          <w:b/>
          <w:sz w:val="48"/>
          <w:szCs w:val="48"/>
          <w:highlight w:val="white"/>
        </w:rPr>
      </w:r>
    </w:p>
    <w:p>
      <w:pPr>
        <w:pStyle w:val="659"/>
        <w:jc w:val="center"/>
        <w:spacing w:before="120" w:after="120" w:line="240" w:lineRule="auto"/>
        <w:rPr>
          <w:rFonts w:ascii="Times New Roman" w:hAnsi="Times New Roman" w:cs="Times New Roman"/>
          <w:b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sz w:val="48"/>
          <w:szCs w:val="48"/>
          <w:highlight w:val="white"/>
        </w:rPr>
        <w:t xml:space="preserve">«О состоянии и развитии конкуренции </w:t>
      </w:r>
      <w:r>
        <w:rPr>
          <w:rFonts w:ascii="Times New Roman" w:hAnsi="Times New Roman" w:cs="Times New Roman"/>
          <w:b/>
          <w:sz w:val="48"/>
          <w:szCs w:val="48"/>
          <w:highlight w:val="white"/>
        </w:rPr>
      </w:r>
    </w:p>
    <w:p>
      <w:pPr>
        <w:pStyle w:val="659"/>
        <w:jc w:val="center"/>
        <w:spacing w:before="120" w:after="120" w:line="240" w:lineRule="auto"/>
        <w:rPr>
          <w:rFonts w:ascii="Times New Roman" w:hAnsi="Times New Roman" w:cs="Times New Roman"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sz w:val="48"/>
          <w:szCs w:val="48"/>
          <w:highlight w:val="white"/>
        </w:rPr>
        <w:t xml:space="preserve">на товарных рынках Ленинградского муниципального округа</w:t>
      </w:r>
      <w:r>
        <w:rPr>
          <w:rFonts w:ascii="Times New Roman" w:hAnsi="Times New Roman" w:cs="Times New Roman"/>
          <w:sz w:val="48"/>
          <w:szCs w:val="48"/>
          <w:highlight w:val="white"/>
        </w:rPr>
      </w:r>
    </w:p>
    <w:p>
      <w:pPr>
        <w:pStyle w:val="659"/>
        <w:jc w:val="center"/>
        <w:spacing w:before="120" w:after="120" w:line="240" w:lineRule="auto"/>
        <w:rPr>
          <w:rFonts w:ascii="Times New Roman" w:hAnsi="Times New Roman" w:cs="Times New Roman"/>
          <w:sz w:val="48"/>
          <w:szCs w:val="48"/>
          <w:highlight w:val="white"/>
        </w:rPr>
      </w:pPr>
      <w:r>
        <w:rPr>
          <w:rFonts w:ascii="Times New Roman" w:hAnsi="Times New Roman" w:cs="Times New Roman"/>
          <w:b/>
          <w:sz w:val="48"/>
          <w:szCs w:val="48"/>
          <w:highlight w:val="white"/>
        </w:rPr>
        <w:t xml:space="preserve">в 2025 году»</w:t>
      </w:r>
      <w:r>
        <w:rPr>
          <w:rFonts w:ascii="Times New Roman" w:hAnsi="Times New Roman" w:cs="Times New Roman"/>
          <w:sz w:val="48"/>
          <w:szCs w:val="4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5387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0"/>
        <w:jc w:val="left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5102" w:right="0" w:firstLine="0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РАССМОТРЕН и УТВЕРЖДЕН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left="5102" w:right="0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 заседании Рабочей группы по содействию развития конкуренции в муниципальном образовании Ленинградский муниципальный округ</w:t>
      </w:r>
      <w:r>
        <w:rPr>
          <w:rFonts w:ascii="Times New Roman" w:hAnsi="Times New Roman"/>
          <w:sz w:val="28"/>
          <w:szCs w:val="28"/>
          <w:highlight w:val="white"/>
        </w:rPr>
        <w:br/>
        <w:t xml:space="preserve">(протокол № 1 от 2</w:t>
      </w:r>
      <w:r>
        <w:rPr>
          <w:rFonts w:ascii="Times New Roman" w:hAnsi="Times New Roman"/>
          <w:sz w:val="28"/>
          <w:szCs w:val="28"/>
          <w:highlight w:val="white"/>
        </w:rPr>
        <w:t xml:space="preserve">9</w:t>
      </w:r>
      <w:r>
        <w:rPr>
          <w:rFonts w:ascii="Times New Roman" w:hAnsi="Times New Roman"/>
          <w:sz w:val="28"/>
          <w:szCs w:val="28"/>
          <w:highlight w:val="white"/>
        </w:rPr>
        <w:t xml:space="preserve"> января 202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г.)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before="120" w:after="120" w:line="276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96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946"/>
        <w:gridCol w:w="707"/>
      </w:tblGrid>
      <w:tr>
        <w:tblPrEx/>
        <w:trPr>
          <w:trHeight w:val="7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стр.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 1. Результаты ежегодного мониторинга состояния и развития конкуренции на товарных рынках муниципального образования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2. Результаты мониторинга деятельности хозяйствующих субъектов, доля участия муниципального образования в которых составляет 50 и более процентов.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3. Создание и реализация механизмов общественного контроля за деятельностью субъектов естественных монополий.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 4. Административные барьеры, препятствующие развитию малого и среднего предпринимательства.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 5.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Результаты реализации мероприятий «дорожной карты» по содействию развитию конкуренции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Раздел 6. Сведения о муниципальных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практиках содействия развитию конкуренции, внедренных в муниципальном образовании 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2025 году.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46" w:type="dxa"/>
            <w:vAlign w:val="center"/>
            <w:textDirection w:val="lrTb"/>
            <w:noWrap w:val="false"/>
          </w:tcPr>
          <w:p>
            <w:pPr>
              <w:pStyle w:val="659"/>
              <w:jc w:val="both"/>
              <w:spacing w:before="120" w:after="12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Приложения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59"/>
              <w:jc w:val="center"/>
              <w:spacing w:before="120" w:after="12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pStyle w:val="65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pStyle w:val="65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Раздел 1. Результаты ежегодного мониторинга состояния и развития конкуренции на товарных рынках муниципального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Во исполнение требований Стандарта развития конкуренции в субъектах Российской Федерации,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утвержденного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распоряжением Правительства Российской Федерации от 17 апреля 2019 года № 768-р, в соответствии с распоряжением главы администрации (губернатора) Красн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одарского края от 16 декабря 2019 года № 416-р «Об утверждении плана  мероприятий («дорожной карты») по содействию развитию конкуренции в Краснодарском крае», в целях реализации мероприятий по внедрению Стандарта развития конкуренции в Краснодарском крае.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 результатам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анализа различных сегментов рынка, присутствующих на территории Ленинградского муниципального округа, в перечень товарных рынков для содействия развитию конкуренции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территории Ленинградского муниципального округа внесены изменения, распоряжением администрации муниципального образования Ленинградский муниципальный округ №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646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-р от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30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декабря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г. «О внесении изменений в распоряжение администрации муниципального образования Ленинградский район от 31 декабря  2019 г. № 284 -р «Об утверждении плана мероприятий («дорожной карты») по содействию развитию конкуренции в муниципа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льном образовании Ленинградский район» и сформирован перечень из 31 товарного рынка,  также определены основные мероприятия по содействию развитию конкуренции на товарных рынках, которые в свою очередь позволят достигнуть запланированные целевые показатели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Для проведения мониторинга состояния и развития конкурентной среды на рынках товаров и услуг в ноябре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года был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проведен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опрос предпринимателей и населения Ленинградского муниципального округа.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проведенном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опросе приняли участие 285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жител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Ленинградского муниципального округа 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представител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бизнеса.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659"/>
        <w:jc w:val="both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pStyle w:val="675"/>
        <w:numPr>
          <w:ilvl w:val="1"/>
          <w:numId w:val="3"/>
        </w:num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Анализ текущей ситуации на всех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определенных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товарных рынках муниципального образования Ленинградский муниципальный округ.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675"/>
        <w:numPr>
          <w:ilvl w:val="0"/>
          <w:numId w:val="4"/>
        </w:num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Сфера образования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образо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вания, которая состоит из следующих рынков: рынок дошкольного образования, рынок общего образования, рынок услуг дистанционного обучения, рынок психолого-педагогического сопровождения детей с ограниченными возможностями, рынок услуг дополнительного образования,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следующим образом: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образования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Так 19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дали оценку «мало» по количеству организаций.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after="0" w:line="240" w:lineRule="auto"/>
        <w:tabs>
          <w:tab w:val="left" w:pos="8787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088348" cy="818646"/>
            <wp:effectExtent l="3175" t="3175" r="3175" b="3175"/>
            <wp:docPr id="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38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образования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173050" cy="858645"/>
            <wp:effectExtent l="3175" t="3175" r="3175" b="3175"/>
            <wp:docPr id="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75"/>
        <w:numPr>
          <w:ilvl w:val="2"/>
          <w:numId w:val="5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Рынок услуг дошкольного образования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tabs>
          <w:tab w:val="left" w:pos="3345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Рынок услуг дошкольного образования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представлен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24 дошкольными образовательными учреждениями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3626 мест, которые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посещают 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детей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 возрасте от 2-х до 8 лет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Дошкольных образовательных учреждений достаточно, в них имеются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свободные неукомплектованные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мест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Доступность дошкольного образования - 100%.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детских садах организованы различные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формы предоставления дошкольного образования: группы полного дня пребывания, общеразвивающей и компенсирующей направленностей, кратковременного пребывания, семейные дошкольные группы, консультационные центры, дополнительные платные образовательные услуги.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базе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ГАПОУ КК «Ленинградского социально-педагогического колледжа» функционирует две дошкольные группы на 35 мест, которые посещают 35 детей в возрасте от 3 до 7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Ленинг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радском муниципальном округе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зарегистрированы 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123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ребёнка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возрасте от 0 до 7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Охвачено дошкольным 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бразованием различного вида 60,1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% детей в возрасте от 1 года до 7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связи с наличием в муниципальных дошкольны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х образовательных учреждениях широкого спектра предоставления образовательных услуг общеразвивающей и компенсирующей направленностей, на территории муниципального образования не зарегистрированы частные дошкольные образовательные организации. В то же время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развитие конкуренции на рынке услуг дошкольного образования на основе создания и развития частных дошкольных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Проблемы и препятствия, мешающие развитию конкуренции (административные барьеры, «пробелы» в законодательстве) на данном рынке услуг - отсутствуют.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98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 Рынок услуг общего образования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Доступность общего образования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Ленинградском муниципальном округе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составляет 100%.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территории муниципального образования осуществляют деятельность 21 муниципальное общеобразовательное учреждение, из которых 16 средних, 4 основных и 1 начальная общеобразовательная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школа с охватом обучающихся 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человека: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начальная образовательная организация осуществляет обучение на уровне начального общего образования (1-4 классы) 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2334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- основные общеобразовательные организации осуществляют обучение на уровнях начального общего и основного общего образования (5-9 классы) –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3228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человек;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- средние общеобразовательные организации осуществляют обучение на уровнях основного общего и среднего общего образования (10-11 классов) –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440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ab/>
        <w:t xml:space="preserve">       Н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а домашнем обучении находится 87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Доступность общего образования - 100%, все обучающиеся работают в односменном режиме работы.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Удельный вес численности обучающихся, охваченных подвозом составляет 100%, количество автобусов - 21.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Проблемы и препятствия, мешающие развитию конкуренции (административные барьеры, «пробелы» в законодательств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е) - отсутствуют. Развитие конкуренции на рынке услуг общего образования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1.1.3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Рынок дистанционного обучения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Дистанционное обучение учащихся общеобразовательных организаций  реализуется по моделям: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Модель ГИА – подготовка обучающихся 9-11 классов общеобразовательных организаций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 прохождению государственной итоговой аттестации;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Модель ПРОФИЛЬ – дистанционная поддержка обучающихся 8-11 классов по программам предпрофильной и/или профильной подготовки;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Модель МКШ – дистанционная поддержка малокомплектных общеобразовательных организаций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 программам общего и/или дополнительного образования;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Модель БАЗОБРАЗ – дистанционная поддержка обучающихся 1-11 классов, обучающихся по программам общего образования непосредственно 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месту жительства обучающегося или его временного пребывания (нахождения), не имеющих по объективным причинам возможности обучаться с классом;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Для организации дистанционного обучения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создан и осуществляет свою деятельность  Центр дистанционного образования, как стр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уктурное подразделение МА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ОУ СОШ № 1, которая является базовой школой по дистанционному обучению.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Центр дистанционного обучения оснащен рабочими местами педагогов (компьютерным, телекоммун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икационным и специализированным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оборудованием и программным обеспечением.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1.1.4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Рынок услуг психолого-педагогического сопровождения детей с ограниченными возможностями здоровья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Рынок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психолого-педагогического сопровождения детей с ог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раниченными возможностями здоровья в муниципальном образовании представлен услугами, оказываемыми государственным учреждением и муниципальными бюджетными учреждениями. Хозяйствующие субъекты частной формы собственности по оказанию соответствующих услуг на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территории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отсутствуют.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году численность детей от 0 до 18 лет, имеющих статус ОВЗ, составила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1335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человек. Из них дошкольного возраста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364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детей, школьного -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823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учащихся. Численность детей-инвалидов из общего числа детей с ОВЗ составила: дошкольного возраста -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человек, школьного возраста -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48 человек (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148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человек в ГСКОУ школе-интернате ст. Ленинградской). Данный контингент составили дети с нарушениями речи, слуха, зрения, опорно-двигательного аппарата,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интеллекта и с соматическими заболеваниями.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муниципальном образовании функционирует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государственное бюджетное учреждение, осуществляющее психолого-педагогическую и медико –социальную помощь «Центр диагностики и консультирования» (ППМС-центр).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Основная задача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ППМС центра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– выполнение заказа образовательных учреждений и населения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диагностике и консультированию детей с проблемами в здоровье и развитии.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связи с тем, что психолого-педагогическое сопровождение детей с ограниченными возможностями здоровья в муниципальном образовании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осуществляется только муниципаль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ными и государственными учреждениями, обеспечение конкуренции на данном рынке, на основе создания организаций частной формы собственности,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Проблемы и препятствия, мешающие развитию конкуренции на данном рынке услуг, отсутствуют.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</w:p>
    <w:p>
      <w:pPr>
        <w:pStyle w:val="33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1.1.5 Рынок услуг дополнительного образования детей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Все организации дополнительного образования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расположены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станице Ленинградской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что обеспечивает потенциальные возможности получать дополнительное образование в полном объеме детям, прожива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ющим в станице Ленинградской. В отдаленных сельских поселениях дополнительное образование осуществляется на основании открытых дополнительных пролицензированных адресов на базе образовательных организаций, обеспеченных специалистами данных направленностей.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Рынок услуг дополнительного образования детей на территории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представлен как муниципальными бюджетными учреждениями, подведомственными управлению образования муниципального образования и отделу куль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туры муниципального образования, так и организациями частной формы собственности. Муниципальные бюджетные учреждения различной направленности представлены: МАОДОПО «Ленинградский учебный центр»; МБОДО «Детско-юношеский центр»; МБОДО «Станция юных техников»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году дополнительным образованием охвачено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7256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детей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что составляет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90,5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% от общего количества несовершеннолетних в возрасте от 5 до 18 лет, проживающих на территории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базе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общеобразовательных организаций организованы Центры образования цифрового и гуманитарного профилей «Точка роста».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Основной индикатор эффективности Центров «Точка роста» - охват программам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 дополнительного образования 80,5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% детей от общей численности обучающихся в общеобразовательной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году продолжилась работа по наполнению краевого электронного контента-навигатора сведениями об организации дополнительного образования на территории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Жалоб на работу организаций, оказывающих услуги дополнительного образования детей, не поступало.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Проблемы входа хозяйствующих субъектов частной формы собственности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данный рынок услуг, связаны с нестабильностью спроса на данные услуги, а также с высоким уровнем затрат на востребованные направления (техническое творчество, электроника) и, как следствие, высокой ценой услуги для потребителя. В то же время, дальнейшее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развитие конкуренции на рынке услуг дополнительного образования детей, на основе создания и развития частных образовательных организаций, 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2. Социальная сфера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отребители дали оценку качества товаров и услуг, а также состояния конкуренции в социальной сфере, которая состоит из следующих рынков: рынок услуг детского отдыха и оздоровления, рынок медицинских услуг, рынок социального предпринимательства, рынок труда,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рынок досуга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молодежи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социальной сфере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75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дали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оценку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«достаточно»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количеству организаций.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190904" cy="772920"/>
            <wp:effectExtent l="3175" t="3175" r="3175" b="3175"/>
            <wp:docPr id="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социальной сфере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423000" cy="759519"/>
            <wp:effectExtent l="3175" t="3175" r="3175" b="3175"/>
            <wp:docPr id="4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75"/>
        <w:numPr>
          <w:ilvl w:val="2"/>
          <w:numId w:val="9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Рынок услуг детского отдыха и оздоровления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муниципальном образовании Ленинградский муниципальный округ, организации частной формы собственности и индивидуальные предприниматели, оказывающие услуги детского отдыха и оздоровления, отсутствуют.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муниципальном образовании Ленинградский муниципальный округ в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летний период 2025 года велась работа 70 организаций отдыха детей и их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оздоровления, в том числе:</w:t>
      </w:r>
      <w:r>
        <w:rPr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1)профильных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лагерей,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организованных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муниципальными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образовательными организациями, осуществляющими организацию отдыха 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оздоровления обучающихся в каникулярное время с дневным пребыванием с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обязательной организацией их питания (далее – ПЛДП), – 37 штук;</w:t>
      </w:r>
      <w:r>
        <w:rPr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2)лагерей труда и отдыха дневного пребывания (далее – ЛТО), – 29 штук;</w:t>
      </w:r>
      <w:r>
        <w:rPr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3)стационарных лагерей палаточного типа, организованных на базе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образовательных организаций (далее – палаточные лагеря), – 4 штуки.</w:t>
      </w:r>
      <w:r>
        <w:rPr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37 ПЛДП оздоровлено 1867 детей, в 29 ЛТО отдохнули 372 ребёнка и 4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палаточных лагеря, в которых побывали 240 несовершеннолетних.</w:t>
      </w:r>
      <w:r>
        <w:rPr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Организации отдыха детей и их оздоровления, функционирующие в 2024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году, отказавшиеся от приема детей в 2025 году, а также сокращенные,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перепрофилируемые и (или) закрываемые в настоящее время, на территории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округа отсутствуют.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Количество организаций отдыха детей и их оздоровления, а также общее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количество оздоровленных детей в ПЛДП, ЛТО и палаточных лагерях в 2025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году не ниже уровня 2024 года.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Все организации внесены в «Реестр организации отдыха детей и их оздоровления» Краснодарского края.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Жалоб на работу организаций не поступало. Административные барьеры для входа на рынок субъектов малого и среднего предпринимательства отсутствуют.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1.1.7 Рынок медицинских услуг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Одним из основных критериев оценки комфортности жизни населения является доступность и качество медицинской помощи.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Рынок медицинских услуг на территории Ленинградского муниципального округа представлен 23 субъектами. Медицинскую помощь населению оказывают: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ГБУЗ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«Ленинградская ЦРБ» МЗ КК, ООО МЦ «Гиппократ», ООО «Южное» (ЛДЦ «Здоровье»), ООО СЦ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Денталюкс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», ООО «Стоматологический центр «Александрия», ООО «Кристалл-Оптика», 5 врачей общей врачебной практики, имею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щие статус индивидуальных предпринимателей, 6 врачей стоматологической практики, имеющие статус индивидуальных предпринимателей; 5 субъектов, осуществляющих деятельность в области медицины и здравоохранения, имеющие статус индивидуальных предпринимателей.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Мощность амбулаторно-поликлинических отделений (взрослой, детской, стоматологической поликлиник и женской консультации) составляет 1392 посещения в смену.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Кроме центральной районной больницы круглосуточная медицинская помощь оказывается 2 участковыми больницами в ст. Крыловской и ст. Новоплатнировской, 9 врачебных амбулаторий в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поселках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Октябрьский, Первомайский, Образцовый, Уманский, Бичевый, хуторах Коржи, Белый, Куликовский, Западный, 5 фельдшерско-акушерских пункта в хуторах  Ромашки, Восточный, Андрющенко,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Краснострелецкий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поселке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Звезда.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Жалобы пациентов на работу отрасли здравоохранение носят стабильный характер, как правило, жалобы на обеспечение лекарственными препаратами льготных категорий граждан.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барье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ры для дальнейшего входа на рынок субъектов малого и среднего предпринимательства отсутствуют. Доступ частных медицинских организаций к участию в ТП ОМС носит заявительный характер. Дальнейшее развитие конкуренции на рынке медицинских услуг на основе созда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населения. Проблемы и препятствия, мешающие развитию конкуренции, на представленном рынке отсутствуют.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lef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.1.8 Рынок социального предпринимательства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highlight w:val="white"/>
        </w:rPr>
        <w:t xml:space="preserve">Социальным предпринимательством признаётся деятельность малых и средних предприятий (субъектов малого и среднего предпринимательства), которая направлена на достижение общественно полезных целей и способствует решению социальных проблем граждан и общества.</w:t>
      </w:r>
      <w:r>
        <w:rPr>
          <w:rFonts w:ascii="Times New Roman" w:hAnsi="Times New Roman" w:eastAsia="Times New Roman" w:cs="Times New Roman"/>
          <w:sz w:val="24"/>
          <w:highlight w:val="white"/>
        </w:rPr>
      </w:r>
      <w:r>
        <w:rPr>
          <w:rFonts w:ascii="Times New Roman" w:hAnsi="Times New Roman" w:eastAsia="Times New Roman" w:cs="Times New Roman"/>
          <w:sz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highlight w:val="white"/>
        </w:rPr>
        <w:t xml:space="preserve">По состоянию на 1 января 2026 г. численность занятых в малом и среднем предпринимательстве, включая «самозанятых» и персонал предприятий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 в 2025 году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составила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 -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10513 чел.,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что составляет 103,9 % к уровню  аналогичного периода 2024 года. </w:t>
      </w:r>
      <w:r>
        <w:rPr>
          <w:rFonts w:ascii="Times New Roman" w:hAnsi="Times New Roman" w:cs="Times New Roman"/>
          <w:sz w:val="24"/>
          <w:highlight w:val="white"/>
        </w:rPr>
      </w:r>
      <w:r>
        <w:rPr>
          <w:rFonts w:ascii="Times New Roman" w:hAnsi="Times New Roman" w:cs="Times New Roman"/>
          <w:sz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highlight w:val="white"/>
        </w:rPr>
        <w:t xml:space="preserve">В муниципальном округе в 2024 году 2 индивидуальных предпринимателя имели статус социального предприятия ИП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Толпеев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И.В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., ИП Бугаев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А.Д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.  В 2025 году индивидуальные предприниматели 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ИП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Толпеев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И.В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., ИП Бугаев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А.Д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не продлили статус социального предпринимательства в связи с отсутствием грантовой поддержки.</w:t>
      </w:r>
      <w:r>
        <w:rPr>
          <w:rFonts w:ascii="Times New Roman" w:hAnsi="Times New Roman" w:eastAsia="Times New Roman" w:cs="Times New Roman"/>
          <w:sz w:val="24"/>
          <w:highlight w:val="white"/>
        </w:rPr>
      </w:r>
      <w:r>
        <w:rPr>
          <w:rFonts w:ascii="Times New Roman" w:hAnsi="Times New Roman" w:eastAsia="Times New Roman" w:cs="Times New Roman"/>
          <w:sz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highlight w:val="white"/>
        </w:rPr>
        <w:t xml:space="preserve">Административные барьеры для дальнейшего выхода частного предпринимательства на анализируемый товарных рынок отсутствуют.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Основной задачей является проведение информационно – разь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яснительной работы в целях получения статуса социального предпринимательства, а также о действующих мерах государственной поддержки в сфере микрофинансирования социальных предпринимателей, в том числе при проведении заседаний Совета по предпринимательству.</w:t>
      </w:r>
      <w:r>
        <w:rPr>
          <w:rFonts w:ascii="Times New Roman" w:hAnsi="Times New Roman" w:eastAsia="Times New Roman" w:cs="Times New Roman"/>
          <w:sz w:val="24"/>
          <w:highlight w:val="white"/>
        </w:rPr>
      </w:r>
      <w:r>
        <w:rPr>
          <w:rFonts w:ascii="Times New Roman" w:hAnsi="Times New Roman" w:eastAsia="Times New Roman" w:cs="Times New Roman"/>
          <w:sz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1.1.9 Рынок труда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59"/>
        <w:ind w:firstLine="850"/>
        <w:jc w:val="both"/>
        <w:spacing w:after="0"/>
        <w:tabs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Численность населения, занятого в экономике муниципального образования Ленинградский муниципальный округ 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году, согласно балансу трудовых ресурсов составляет 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тыс. человек. Реализацию политики в области содействия занятости населения осуществляет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Филиал ГКУ КК «Центр занятости населения Краснодарского края» в Ленинградском муниципальном округе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r>
    </w:p>
    <w:p>
      <w:pPr>
        <w:pStyle w:val="659"/>
        <w:ind w:firstLine="708"/>
        <w:jc w:val="both"/>
        <w:spacing w:after="0"/>
        <w:rPr>
          <w:rFonts w:ascii="Times New Roman" w:hAnsi="Times New Roman" w:cs="Times New Roman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отчетном периоде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500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работодателями, осуществляющими деятельность на территории муниципального образования, в центр занятости населения заявлено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582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вакансий.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состоянию на 1 января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года на учете по безработице состоит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человек. Уровень регистрируемой безработицы составил 0,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% (по краю – 0,3%).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659"/>
        <w:ind w:firstLine="708"/>
        <w:jc w:val="both"/>
        <w:spacing w:after="0"/>
        <w:rPr>
          <w:rFonts w:ascii="Times New Roman" w:hAnsi="Times New Roman" w:cs="Times New Roman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году организовано и проведено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ярмарок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вакансий, приняли участие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84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работодателя  и 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453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граждан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ищущих работу. После проведения мероприятий трудоустроено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244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человека, что составило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16,8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% от общего числа участников.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659"/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году в рамках федерального проекта «Содействие занятости» национального проекта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Кадры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» на профессиональное обучение направлено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трудоустроено 100,0%. В рамках реализации государственной программы Краснодарского края «Содействие занятости населения» обучено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безработных граждан, трудоустроено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%.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бар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ьеры для дальнейшего выхода частного предпринимательства на анализируемый товарных рынок отсутствуют.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1.1.10 Рынок досуга молодежи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Реализацией государственной молодежной политики в Ленинградском муниципальном округе осуществляется отделом 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делам молодежи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администрации Ле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нинградского муниципального округа и муниципальным казённым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учреждение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«Молодежный центр»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базе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отдела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 делам молодежи администрации Ленинградского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осуществляют свою деятельность 3 клуба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 месту жительства с охватом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летний период в муниципальном образова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нии Ленинградский муниципальный округ работало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дворовых площадок по месту жительства.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Молодежь Ленинградского муниципального округа в возрасте от 14 до 35 лет посещает краевые стационарные спортивно-оздоровительные лагеря, форумные кампании.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году для молодежи Ленинградского муниципального округа в возрасте от 14 до 17 лет было организовано две муниципальных смены на базе детского оздоровительного лагеря на побережье Азовского моря Краснодарского края с охватом 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Молодежь Ленинградского муниципального округа принимала активное участие во Всероссийских и районных форумах: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молодежь в возраст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 от 18 до 35 лет в количестве 17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 – принял участие в сменах регионального молодежного форума Кубани «Регион 93»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молодежь в возрасте от 18 до 29 лет в количестве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 – принял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участие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региональном межнациональном форуме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Этнодиалог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молодежь в возрасте от 14 до 16 лет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количестве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приняли участие 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региональном молодежном форуме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Юфорум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базе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штаба местного отделения ВВПОД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Юнармия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прошел молодежный патриотический форум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Будущее начинается здесь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» в форуме приняли участие молодёжь в возрасте от 16 до 25 лет в количестве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базе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центра творчества и искусства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был проведен меж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националь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ный молодежный форум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Вместе мы едины», в котором приняли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участие 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Традиционно в округе в летний период проходят: молодежный православный велопробег, спортивно-оздоровительные соревнования, квест-игры, соревнования по ориентированию на местности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работа детских дворовых площадок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Количество молодых людей, участвующих в спортивно-оздоровительных мероприятиях растет год от года, за отчетный период количество участников составило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869 человек.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проведено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156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профилактических и узкоспециализированных мероприятий, направленных на профилактику экстремистской деятельности в молодежной 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реде с общим охват молодежи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3805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человек.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рамках мероприятий проводились круглые столы, дискуссии, семинары-совещания, беседы, направленные на профилактику экстремизма в молодежной среде.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Всего за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год отделом по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делам молодежи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администрации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Ленинградского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было проведено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мероприятия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области военно-патриотического и гражданского воспитание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 общим количеством участников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9751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человек, что указывает на вовлеченност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молодежи в военно-патриотическое и гражданское воспитание.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Информация о проведенных и запланированных мероприятиях размещается: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в районной газете «Степные зори»;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в краевой газете «Молодежный вестник Кубани»;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в социальной сети «ВКонтакте» - группа «Отдел молодежи Ленинградский муниципальный округ»;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 сайте администрации муниципального образования Ленинградский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муниципальный округ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в социальной сети «ВКонтакте» администрации муниципально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го образования Ленинградский муниципальный округ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в мессенджере «Телеграмм» на канале отдела по молодежной политике и администрации муниципального образования Ленинградский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муниципальный округ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Административные бар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ьеры для дальнейшего выхода частного предпринимательства на анализируемый товарных рынок отсутствуют.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jc w:val="both"/>
        <w:spacing w:after="0"/>
        <w:rPr>
          <w:sz w:val="28"/>
          <w:szCs w:val="28"/>
          <w:highlight w:val="white"/>
        </w:rPr>
      </w:pPr>
      <w:r>
        <w:rPr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3. Сфера ЖКХ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ЖКХ, которая состоит из следующих рынков: рынок ритуальных услуг, рынок теплоснабжения (производство теп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ловой энергии),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рынок выполнения работ по благоустройству городской среды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,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рынок выполнения работ по содержанию и текущему ремонту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общего имущества собственников помещений  в многоквартирном доме, рынок водоснабжения и водоотведения, рынок электроэнергетики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ЖКХ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70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что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808048" cy="854475"/>
            <wp:effectExtent l="3175" t="3175" r="3175" b="3175"/>
            <wp:docPr id="5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33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ЖКХ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не изменился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977724" cy="902397"/>
            <wp:effectExtent l="3175" t="3175" r="3175" b="3175"/>
            <wp:docPr id="6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360" w:firstLine="0"/>
        <w:jc w:val="center"/>
        <w:spacing w:after="0" w:line="240" w:lineRule="auto"/>
        <w:widowControl/>
        <w:tabs>
          <w:tab w:val="left" w:pos="49" w:leader="none"/>
        </w:tabs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1.1.11 Рынок ритуальных услуг</w:t>
      </w: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</w:p>
    <w:p>
      <w:pPr>
        <w:ind w:left="49"/>
        <w:spacing w:after="0" w:line="240" w:lineRule="auto"/>
        <w:widowControl/>
        <w:tabs>
          <w:tab w:val="left" w:pos="49" w:leader="none"/>
        </w:tabs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</w:p>
    <w:p>
      <w:pPr>
        <w:pStyle w:val="1_98288"/>
        <w:ind w:firstLine="567"/>
        <w:jc w:val="both"/>
        <w:widowControl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Ритуальные услуги - являются важным элементом рыночной системы хозяйствования, имеющие свои специфические особенности и параметры, что обуславливает необходимость выделения их в самостоятельный вид деятельности и разработку комплекса мер по их развитию.</w:t>
      </w:r>
      <w:r>
        <w:rPr>
          <w:color w:val="000000"/>
          <w:sz w:val="24"/>
          <w:highlight w:val="white"/>
        </w:rPr>
      </w:r>
      <w:r>
        <w:rPr>
          <w:color w:val="000000"/>
          <w:sz w:val="24"/>
          <w:highlight w:val="white"/>
        </w:rPr>
      </w:r>
    </w:p>
    <w:p>
      <w:pPr>
        <w:ind w:firstLine="567"/>
        <w:jc w:val="both"/>
        <w:spacing w:after="0" w:line="240" w:lineRule="auto"/>
        <w:widowControl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По состоянию на 2025 год на территории</w:t>
      </w:r>
      <w:r>
        <w:rPr>
          <w:rFonts w:ascii="Times New Roman" w:hAnsi="Times New Roman"/>
          <w:sz w:val="24"/>
          <w:highlight w:val="white"/>
        </w:rPr>
        <w:t xml:space="preserve"> Ленинградского муниципального отсутствуют муниципальные специализированные службы по похоронному делу. Предпринимательскую деятельность в сфере органи</w:t>
      </w:r>
      <w:r>
        <w:rPr>
          <w:rFonts w:ascii="Times New Roman" w:hAnsi="Times New Roman"/>
          <w:sz w:val="24"/>
          <w:highlight w:val="white"/>
        </w:rPr>
        <w:t xml:space="preserve">зации похорон и предоставлении связанных с ним услуг </w:t>
      </w:r>
      <w:r>
        <w:rPr>
          <w:rFonts w:ascii="Times New Roman" w:hAnsi="Times New Roman"/>
          <w:sz w:val="24"/>
          <w:highlight w:val="white"/>
        </w:rPr>
        <w:t xml:space="preserve">осуществляют </w:t>
      </w:r>
      <w:r>
        <w:rPr>
          <w:rFonts w:ascii="Times New Roman" w:hAnsi="Times New Roman"/>
          <w:sz w:val="24"/>
          <w:highlight w:val="white"/>
        </w:rPr>
        <w:t xml:space="preserve">2</w:t>
      </w:r>
      <w:r>
        <w:rPr>
          <w:rFonts w:ascii="Times New Roman" w:hAnsi="Times New Roman"/>
          <w:sz w:val="24"/>
          <w:highlight w:val="white"/>
        </w:rPr>
        <w:t xml:space="preserve"> индивидуальных предпринимателя</w:t>
      </w:r>
      <w:r>
        <w:rPr>
          <w:rFonts w:ascii="Times New Roman" w:hAnsi="Times New Roman"/>
          <w:sz w:val="24"/>
          <w:highlight w:val="white"/>
        </w:rPr>
        <w:t xml:space="preserve">. На 2026 год поставлена задача создать и утвердить специализированную службу по вопросам похоронного дела на территории Ленинградского муниципального округа.</w:t>
      </w:r>
      <w:r>
        <w:rPr>
          <w:rFonts w:ascii="Times New Roman" w:hAnsi="Times New Roman"/>
          <w:sz w:val="24"/>
          <w:highlight w:val="white"/>
        </w:rPr>
      </w:r>
      <w:r>
        <w:rPr>
          <w:rFonts w:ascii="Times New Roman" w:hAnsi="Times New Roman"/>
          <w:sz w:val="24"/>
          <w:highlight w:val="white"/>
        </w:rPr>
      </w:r>
    </w:p>
    <w:p>
      <w:pPr>
        <w:ind w:firstLine="567"/>
        <w:jc w:val="both"/>
        <w:spacing w:after="0" w:line="240" w:lineRule="auto"/>
        <w:widowControl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Административные барьеры для дальнейшего входа на рынок субъектов малого и среднего предпри</w:t>
      </w:r>
      <w:r>
        <w:rPr>
          <w:rFonts w:ascii="Times New Roman" w:hAnsi="Times New Roman"/>
          <w:sz w:val="24"/>
          <w:highlight w:val="white"/>
        </w:rPr>
        <w:t xml:space="preserve">нимательства отсутствуют. Жалоб на работу организаций, оказывающих услуг социального обслуживания населения не поступало. Основной задачей по содействию развитию конкуренции на рынке ритуальных услуг является дальнейшее развитие добросовестной конкуренции.</w:t>
      </w:r>
      <w:r>
        <w:rPr>
          <w:rFonts w:ascii="Times New Roman" w:hAnsi="Times New Roman"/>
          <w:sz w:val="24"/>
          <w:highlight w:val="white"/>
        </w:rPr>
      </w:r>
      <w:r>
        <w:rPr>
          <w:rFonts w:ascii="Times New Roman" w:hAnsi="Times New Roman"/>
          <w:sz w:val="24"/>
          <w:highlight w:val="white"/>
        </w:rPr>
      </w:r>
    </w:p>
    <w:p>
      <w:pPr>
        <w:ind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72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1.1.12 Рынок теплоснабжения (производство тепловой энергии)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системе теплоснабжения (производство тепловой энергии) муниципального образования Ленинградский муниципальный округ функционируют 47 котельных и свыше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8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579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тепловых сетей, как входящих в системы ц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ентрализованного теплоснабжения населения, так и находящихся на балансе организаций муниципальной собственности. На рынке теплоснабжения действует 1 основное специализированное предприятие ООО «СПКК» филиал Ленинградские теплосети, которым эксплуатируется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689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км тепловых сетей и 38 газовых котельных.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Жалобы населения на данную категорию услуг носят не стабильный характер, как правило, вопросы о предоставляемых услугах ненадлежащего качества (перебои в теплоснабжении).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Административных барьеров для входа хозяйствующих субъектов частной формы собственности на данный рынок услуг нет.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33"/>
        <w:ind w:left="0"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1.1.13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white"/>
        </w:rPr>
        <w:t xml:space="preserve">ынок выполнения работ по благоустройству городской среды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На террит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ории Ленинградского муниципального округа отсутствуют муниципальные специализированные службы по благоустройству городской среды.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Предпринимательскую деятельность, в том числе в сфере благоустройства ландшафта осуществляют 2 индивидуальных предпринимателя и юридическое лицо.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1_99478"/>
        <w:ind w:firstLine="459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В 2025 году на территории  Ленинградского муниципального округа завершены работы по благоустройству следующих общественных территорий, в том числе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в рамках </w:t>
      </w:r>
      <w:r>
        <w:rPr>
          <w:rFonts w:ascii="Times New Roman" w:hAnsi="Times New Roman" w:eastAsia="Times New Roman" w:cs="Times New Roman"/>
          <w:szCs w:val="28"/>
          <w:highlight w:val="white"/>
          <w:lang w:eastAsia="en-US"/>
        </w:rPr>
        <w:t xml:space="preserve">регионального проекта «Формирование комфортной городской среды» национального проекта «Инфраструктура для жизни», в рамках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муниципальной программы администрации Ленинградского муниципального округа «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Формирование современной городской среды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»: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лагоустройство набережной около водоема между ул. Коммунальной и  ул. Ленина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 этап (1-я, 2-я, 3-я оч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ередь);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Благоустройство общественной территории мемориала «Сыновьям Великой Отчизны» в ст. Ленинградской;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Благоустройство общественной территории ст. Новоплатнировская,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ул. Ленина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«Гордость в именах», установка доски почета с благоустройством общественной территории в х. Белом по ул. Горького, 218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Благоустройство общественной территории в поселке Образцовом. Ремонт тротуара по ул. Ленина от ул. Октябрьской до ул. Северно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Благоустройство общественной территории по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ул. Октябрьской, Образцового сельского поселения Ленинградского района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Административные барьеры для дальнейшего входа на рынок частного предпринимательства отсутствуют.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9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1.1.14 Рынок выполнения работ по содержанию и текущему ремонту общего имущества собственников помещений в многоквартирном доме</w:t>
      </w: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</w:p>
    <w:p>
      <w:pPr>
        <w:ind w:left="49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  <w:r>
        <w:rPr>
          <w:rFonts w:ascii="Times New Roman" w:hAnsi="Times New Roman"/>
          <w:b/>
          <w:sz w:val="24"/>
          <w:highlight w:val="white"/>
        </w:rPr>
      </w:r>
    </w:p>
    <w:p>
      <w:pPr>
        <w:pStyle w:val="1_98288"/>
        <w:ind w:firstLine="567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На территории муниципального</w:t>
      </w:r>
      <w:r>
        <w:rPr>
          <w:sz w:val="24"/>
          <w:highlight w:val="white"/>
        </w:rPr>
        <w:t xml:space="preserve"> образования Ленинградский муниципальный округ 192</w:t>
      </w:r>
      <w:r>
        <w:rPr>
          <w:sz w:val="24"/>
          <w:highlight w:val="white"/>
        </w:rPr>
        <w:t xml:space="preserve"> многоквартирных домов. На рынке выполнения работ по содержанию и текущему ремонту общего имущества собственников помещений в многоквартирном доме муници</w:t>
      </w:r>
      <w:r>
        <w:rPr>
          <w:sz w:val="24"/>
          <w:highlight w:val="white"/>
        </w:rPr>
        <w:t xml:space="preserve">пального образования действуют 8</w:t>
      </w:r>
      <w:r>
        <w:rPr>
          <w:sz w:val="24"/>
          <w:highlight w:val="white"/>
        </w:rPr>
        <w:t xml:space="preserve"> специализированных хозяйствующих субъектов, относящихся к частной форме собственности. </w:t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Style w:val="1_98288"/>
        <w:ind w:firstLine="567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В 2025</w:t>
      </w:r>
      <w:r>
        <w:rPr>
          <w:sz w:val="24"/>
          <w:highlight w:val="white"/>
        </w:rPr>
        <w:t xml:space="preserve"> году постановлением администрации муниципального</w:t>
      </w:r>
      <w:r>
        <w:rPr>
          <w:sz w:val="24"/>
          <w:highlight w:val="white"/>
        </w:rPr>
        <w:t xml:space="preserve"> образования Ленинградский муниципальный округ</w:t>
      </w:r>
      <w:r>
        <w:rPr>
          <w:sz w:val="24"/>
          <w:highlight w:val="white"/>
        </w:rPr>
        <w:t xml:space="preserve"> утвержден </w:t>
      </w:r>
      <w:r>
        <w:rPr>
          <w:sz w:val="24"/>
          <w:highlight w:val="white"/>
        </w:rPr>
        <w:t xml:space="preserve">краткосрочный </w:t>
      </w:r>
      <w:r>
        <w:rPr>
          <w:sz w:val="24"/>
          <w:highlight w:val="white"/>
        </w:rPr>
        <w:t xml:space="preserve">план </w:t>
      </w:r>
      <w:r>
        <w:rPr>
          <w:sz w:val="24"/>
          <w:highlight w:val="white"/>
        </w:rPr>
        <w:t xml:space="preserve">реализации региональной программы</w:t>
      </w:r>
      <w:r>
        <w:rPr>
          <w:sz w:val="24"/>
          <w:highlight w:val="white"/>
        </w:rPr>
        <w:t xml:space="preserve"> капитального ремонта</w:t>
      </w:r>
      <w:r>
        <w:rPr>
          <w:sz w:val="24"/>
          <w:highlight w:val="white"/>
        </w:rPr>
        <w:t xml:space="preserve"> общего имущества собственников помещений многоквартирных домов</w:t>
      </w:r>
      <w:r>
        <w:rPr>
          <w:sz w:val="24"/>
          <w:highlight w:val="white"/>
        </w:rPr>
        <w:t xml:space="preserve">, в который вошли 5 многоквартирных домов на территории ст. Ленинградской. В этих многоквартирных домах, принявших положительное решение о проведении капитального ремонта выполнен капитальный ремонт </w:t>
      </w:r>
      <w:r>
        <w:rPr>
          <w:sz w:val="24"/>
          <w:highlight w:val="white"/>
        </w:rPr>
        <w:t xml:space="preserve">кровли, систем электроснабжения, ремонт фасада.</w:t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Style w:val="1_98288"/>
        <w:ind w:firstLine="567"/>
        <w:jc w:val="both"/>
        <w:widowControl/>
        <w:rPr>
          <w:sz w:val="28"/>
          <w:highlight w:val="white"/>
        </w:rPr>
      </w:pPr>
      <w:r>
        <w:rPr>
          <w:sz w:val="24"/>
          <w:highlight w:val="white"/>
        </w:rPr>
        <w:t xml:space="preserve">Административные барьеры для дальнейшего входа на рынок частного предпринимательства отсутствуют. Дальнейшее развитие конкуренции на рынке будет способствовать повышению качества обслуживания населения.</w:t>
      </w:r>
      <w:r>
        <w:rPr>
          <w:sz w:val="28"/>
          <w:highlight w:val="white"/>
        </w:rPr>
      </w:r>
      <w:r>
        <w:rPr>
          <w:sz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1.1.15 Рынок водоснабжения и водоотведения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Разведанные запасы Ленинградского мес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торождения подземных пресных вод составляют 155,0 тыс. куб. м в сутки. Суммарная мощность водозаборов, расположенных на территории муниципального образования Ленинградский муниципальный округ равна 112 тыс. куб. м в сутки. В сфере водоснабжения и водоотведения округа в настоящее время осущ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ествляют деятельность 1 специализированное муниципальное унитарное предприятие. Основная масса объектов водоснабжения и водоотведения имеют высокую степень износа. Средний по округу показатель физического износа сетей водоснабжения и водоотведения составляет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За прошедший год выполнены работы по замене сетей водоснабжения протяженностью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898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км. На 202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год поставлен 5% план по замене сетей водоснабжения и водоотведения, составляющий 21,0 км от общей протяженности.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Администрация муниципального образования Ленинградский муниципальный округ является участником национального проекта «Чистая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вода» в рамках государственной программы Краснодарского края «Развитие жилищно-коммунального хозяйства» с объектом «Реконструкция водозабора со строительством станции очистки воды от сероводорода производительностью 10 000 м.куб/сут. в ст. Ленинградской».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Ввод в эксплуатацию станции очистки воды в ст. Ленинградской планируется в 202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году.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72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1.1.16 Рынок электроэнергетики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Ленинградском муниципальном округе функцио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нирует 1 сетевая организация, оказывающая услуги по передаче электрической энергии – Ленинградские электрические сети филиал ОАО «Кубаньэнерго».  Установленная мощность всего составляет более 70 МВ*А. Уровень износа основных фондов в электрических сетях 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68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%. Доля организаций частной формы собственности, осуществляющих деятельность по производству электроэнергии на розничном рынке и осуществляющих деятельность по купле-продаже электроэнергии (энергосбытовую деятельность) на розничном рынке, составляет 100%.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4. Сфера транспортного комплекса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проведенного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транспортного комплекса, которая состоит из следующих р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ынков: рынок оказания услуг по перевозке пассажиров автомобильным транспортом по муниципальным маршрутам регулярных перевозок, рынок оказания услуг по перевозке пассажиров и багажа легковым такси на территории муниципального образования Ленинградский муниципальный округ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транспортного комплекса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Так 64 % опрошенных считают, что количество организаций в округе достаточно.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920274" cy="858235"/>
            <wp:effectExtent l="3175" t="3175" r="3175" b="3175"/>
            <wp:docPr id="7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31 % опрошенных считают, что качество услуг в сфере транспортного комплекса по округу не изменилось.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107270" cy="864294"/>
            <wp:effectExtent l="3175" t="3175" r="3175" b="3175"/>
            <wp:docPr id="8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1.1.17 Рынок оказания услуг по перевозке пассажиров автомобильным транспортом по муниципальным маршрутам регулярных перевозок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Пассажирский транспорт является одним из основных элементов социальной инфраструктуры Ленинградского муниципального округа, обеспечивающим потребность жителей станицы Ленинградской и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населенных пунктов Ленинградского муниципального округа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в городских и пригородных перевозках. На территории Ленинградск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ого муниципального округа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действуют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8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городских автобусных маршрутов и 7 автобусных маршрутов пригородного сообщения. Перевозку пассажиров по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пригородным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 городским автобусными маршрутами регулярных перевозок осуществляют 1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микро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предприятие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ООО «Пассажирт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ранс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Административные барьеры для дальнейшего входа на рынок субъектов малого и среднего предпринимательства отсутствуют. Развитие конкуренции на рынке будет способствовать повышению качества обслуживания населения.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1.1.18 Рынок оказания услуг по перевозке пассажиров и багажа легковым такси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-284" w:leader="none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На территории Ленинградского муниципального округа осуществляют деятельность свыше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9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индивидуальных предпринимателей, имеющих разрешение на осуществление деятельности по перевозке пассажиров и багажа легковыми такси на территории Краснодарского края.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-284" w:leader="none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Административные барьеры для дальнейшего входа на рынок субъектов малого и среднего предпринимательства отсутствуют. Развитие конкуренции на рынке будет способствовать повышению качества обслуживания населения.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rPr>
          <w:sz w:val="28"/>
          <w:szCs w:val="28"/>
          <w:highlight w:val="white"/>
        </w:rPr>
      </w:pPr>
      <w:r>
        <w:rPr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5. Сфера информационных технологий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потребители дали оценку кач</w:t>
      </w:r>
      <w:r>
        <w:rPr>
          <w:rFonts w:ascii="Times New Roman" w:hAnsi="Times New Roman" w:cs="Times New Roman"/>
          <w:color w:val="000000" w:themeColor="text1"/>
          <w:spacing w:val="-6"/>
          <w:sz w:val="24"/>
          <w:szCs w:val="24"/>
          <w:highlight w:val="white"/>
        </w:rPr>
        <w:t xml:space="preserve">ества товаров и услуг, а также состояния конкуренции в сфере информационных технологий, которая состоит из следующих рынков: рынок услуг связи, в том числе услуг по предоставлению широкополосного доступа к информационно-телекоммуникационной сети «Интернет»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lang w:eastAsia="ru-RU"/>
        </w:rPr>
        <w:t xml:space="preserve">в сфере информационных технологий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, оказываемых на территории нашего округа. Так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66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748824" cy="885824"/>
            <wp:effectExtent l="3175" t="3175" r="3175" b="3175"/>
            <wp:docPr id="9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информационных технологий по округу повысилось.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981792" cy="959314"/>
            <wp:effectExtent l="3175" t="3175" r="3175" b="3175"/>
            <wp:docPr id="10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1.1.19 Рынок услуг связи, в том числе услуг по предоставлению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широкополосного доступа к информационно-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телекоммуникационной сети «Интернет»</w:t>
      </w:r>
      <w:r>
        <w:rPr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ind w:firstLine="709"/>
        <w:jc w:val="both"/>
        <w:spacing w:before="0" w:after="0" w:line="240" w:lineRule="auto"/>
        <w:rPr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Для обеспечения населения услугами связи и современными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информационными сервисами в муниципальном образовании ведется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целенаправленная работа по созданию необходимых правовых 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экономических условий, обеспечивающих устойчивое функционирование 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развитие отрасли «связь» (включая сети связи общего пользования). 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настоящее время на территории муниципального образования  Ленинградский муниципальный округ услуги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мобильной связи предоставляют четыре крупных оператора.</w:t>
      </w:r>
      <w:r>
        <w:rPr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барьеры для дальнейшего входа на рынок субъектов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малого и среднего предпринимательства отсутствуют. Дальнейшее развитие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конкуренции на рынке услуг связи будет способствовать повышению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качественного уровня оказываемых услуг и удовлетворению социальных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запросов населения.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6. Сфера строительства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фере строительства, которая состоит из следующих рынков: рынок жилищного строительства, рынок строительства объектов капитального строительства, за исключением жилищного и дорожного строительства, рынок дорожной деятельности (за исключением проектирования)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строительства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качество услуг в сфере строительства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повысилось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684174" cy="858520"/>
            <wp:effectExtent l="0" t="0" r="2540" b="17780"/>
            <wp:docPr id="11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75"/>
        <w:ind w:left="108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1.1.20 Рынок жилищного строительства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pacing w:val="3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рамках реализации программы по развитию индивидуального жилищного строительства, администрация Ленинградского муниципального округа отмечает значительный рост активности застройщиков.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Застройщики объектов индивидуального жилищного строительства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уведомили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администрацию Ленинградского муниципального округа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 окончании строительства индивидуальных жилых домов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общей площадью 2870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кв.м.</w:t>
      </w:r>
      <w:r>
        <w:rPr>
          <w:rFonts w:ascii="Times New Roman" w:hAnsi="Times New Roman" w:cs="Times New Roman"/>
          <w:spacing w:val="3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  <w:highlight w:val="white"/>
        </w:rPr>
      </w:r>
      <w:r>
        <w:rPr>
          <w:rFonts w:ascii="Times New Roman" w:hAnsi="Times New Roman" w:cs="Times New Roman"/>
          <w:spacing w:val="3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8"/>
          <w:szCs w:val="28"/>
          <w:highlight w:val="white"/>
          <w:shd w:val="clear" w:color="auto" w:fill="f4f4e7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Одной из ключевых причин роста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объёмов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ввода индивидуальных домов является упрощение административных процедур. В частности,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упрощён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процесс регистрации ранее построенных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 вновь возведённых индивидуальных жилых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домов, что позволяет собственникам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узаконить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свои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объекты 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короткие сроки. Также, важную роль сыграло упрощение получения разрешительной документации на ввод в эксплуатацию индивидуального дома, включая расположенные на садовых участках. Это значительно сократило временные и финансовые издержки для застройщиков.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4f4e7"/>
        </w:rPr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4f4e7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Жалоб на работу</w:t>
      </w:r>
      <w:r>
        <w:rPr>
          <w:rFonts w:ascii="Times New Roman" w:hAnsi="Times New Roman"/>
          <w:sz w:val="24"/>
          <w:szCs w:val="24"/>
          <w:highlight w:val="white"/>
        </w:rPr>
        <w:t xml:space="preserve"> организаций, оказывающих услуги на рынке жилищного строительства</w:t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highlight w:val="white"/>
        </w:rPr>
        <w:t xml:space="preserve">не поступало.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9" w:firstLine="518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Дальнейшее развитие конкуренции на рынке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жилищного строительства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будет способствовать повышению качественного уровня оказываемых услуг и удовлетворению социальных запросов населения.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9" w:firstLine="518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году на территории станицы Ленинградской введены в эксплуатацию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жилых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дома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блокированной жилой застройки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675"/>
        <w:ind w:left="108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1.1.21 Рынок строительства объектов капитального строительства,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за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исключением жилищного и дорожного строительства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В 202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году на территории муниципального образования Ленинградский муниципальный округ введено в эксплуатацию 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4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здани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я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нежилого назначения: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бытового, социального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торгового назначени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я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9" w:firstLine="518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iCs/>
          <w:sz w:val="28"/>
          <w:szCs w:val="28"/>
          <w:highlight w:val="white"/>
        </w:rPr>
      </w:pP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За 202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год выдано: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</w:p>
    <w:p>
      <w:pPr>
        <w:ind w:left="49" w:firstLine="518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iCs/>
          <w:sz w:val="28"/>
          <w:szCs w:val="28"/>
          <w:highlight w:val="white"/>
        </w:rPr>
      </w:pP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27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разрешений на ввод в эксплуатацию объектов капитального строительства;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</w:p>
    <w:p>
      <w:pPr>
        <w:ind w:left="49" w:firstLine="518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iCs/>
          <w:sz w:val="28"/>
          <w:szCs w:val="28"/>
          <w:highlight w:val="white"/>
        </w:rPr>
      </w:pP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12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 разрешений на строительство объектов капитального строительства.</w:t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Источниками финансирования объектов капитального строительства являются капитальные вложения (инвестиции) хозяйствующих субъектов.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Дальнейшему развитию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конкуренции на рынке строительства объектов капитального строительства, за исключением жилищного и дорожного строительства, будет способствовать повышение качественного уровня оказываемых услуг и удовлетворению запросов хозяйствующих субъектов и населения.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20" w:firstLine="0"/>
        <w:jc w:val="left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1.1.22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Рынок дорожной деятельности (за исключением проектирования)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рынке дорожной деятельности действуют 5 хозяйствующих субъектов частной формы собственности различных организационно-правовых форм, в том числе, в общем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объеме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работ по ремонту и строительству дорог местного значения на территории округа более 60,0 % выполняется НАО «Ленинградское ДРСУ» </w:t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барьеры для дальнейшего входа на рынок субъектов малого и среднего предпринимательства отсутствуют. Жалоб на работу организаций, оказывающих услуги на данном рынке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не поступало.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Дальнейшее развитие конкуренции на рынке дорожной деятельности, будет способствовать повышению качественного уровня оказываемых услуг и удовлетворению запросов хозяйствующих субъектов и населения.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7. Сфера агропромышленного комплекса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потребители дали оценку каче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ства товаров и услуг, а также состояния конкуренции в сфере агропромышленного комплекса, которая состоит из следующих рынков: рынок племенного животноводства, рынок семеноводства, рынок товарной аквакультуры, рынок реализации сельскохозяйственной продукции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агропромышленного комплекса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округа.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77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872036" cy="715617"/>
            <wp:effectExtent l="3175" t="3175" r="3175" b="3175"/>
            <wp:docPr id="12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33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 услуг в сфере агропромышленного комплекса по округу повысилось.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067911" cy="898496"/>
            <wp:effectExtent l="3175" t="3175" r="3175" b="3175"/>
            <wp:docPr id="13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1.1.23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Рынок племенного животноводства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right="-31"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На 1 января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г.  в Государственном племенном регистре из Ленинградского муниципального округа  нет зарегистриров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анных племенных организаций. 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  <w:t xml:space="preserve">Для улучшения продуктивных качеств маточного поголовья крупного рогатого скота в организациях всех форм собственности округа используется </w:t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  <w:t xml:space="preserve">биопродукция</w:t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  <w:t xml:space="preserve">, поставляемая племенными предприятиями края от высокоценных быков-производителей молочных пород отечественной и зарубежной селекции.</w:t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  <w:t xml:space="preserve">Административные барьеры для дальнейшего входа на рынок субъектов малого и среднего предпринимательства отсутствуют.</w:t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white"/>
          <w:lang w:eastAsia="ru-RU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1.1.24 Рынок семеноводства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Рынок семено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водства Ленинградского муниципального округа  представлен сельскохозяйственными товаропроизводителями, ведущими профессиональную деятельность по производству сортов ряда сельскохозяйственных культур. По состоянию на 1 января 2026 г., согласно данным ФГБУ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Россельхозцентр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» в реестр семеноводческих хозяйств от Ленинградского муниципального округа включено 8 организаций. Также на территории округа осуществляет деятельность научное учреждение Северо-Кубанская сельскохозяйственная опытна станция - филиал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ФГБНУ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НЦЗ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им.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П.П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. Лукьяненко».  Объемы производства семян, производимых в Ленинградском муниципальном округе  достаточны для планомерного сортообновления зерновых колосовых культур в округе.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Семенами отечественной селекции в Ленинградском муниципальном округе  засевается  100 % площадей озимых зерновых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культур,  90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% - кукурузы , порядка 50 % - подсолнечника, 10 % –сахарной свеклы.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В последние годы отмечен устойчивый спрос на использование семян высших репродукций.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При  посеве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 озимых культур под урожай 2026 года  использовалось 2,9  тысяч тонн  оригинальных и элитных семян (пшеница озимая, озимый ячмень),  ими засеяно  30,7 % посевной площади озимых культур.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</w:p>
    <w:p>
      <w:pPr>
        <w:ind w:firstLine="73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арьеры для дальнейшего входа на рынок семеноводства субъектов малого и среднего предпринимательства отсутствуют. Дальнейшее развитие конкуренции на рынке семеноводства будет способствовать наращиванию производства важнейших видов продукции растениеводства.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1.1.25 Рынок товарной аквакультуры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236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году на рынке товарной аквакультуры осуществляли деятельность 27 хозяйствующих субъектов, которые для выращивания товарной рыбы использовали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гектара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водной глади.  Все участники товарного рынка - представители частного бизнеса. Объе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 улова объектов аквакультуры в 2024 году составил 99  тонн, в 2025 году – 100,1 тонн. С целью наращивания объема производства рыбы, произведено зарыбление водоемов, выпущено 21 тонна рыбопосадочного материала (2024  год-9 тонн).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426"/>
        <w:jc w:val="both"/>
        <w:spacing w:after="0" w:line="240" w:lineRule="auto"/>
        <w:tabs>
          <w:tab w:val="left" w:pos="236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Административные барьеры для входа на рынок частного бизнеса отсутствуют.</w:t>
      </w:r>
      <w:r>
        <w:rPr>
          <w:sz w:val="24"/>
          <w:szCs w:val="24"/>
          <w:highlight w:val="white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рамках реализации системных мероприятий, направленных на развитие конкуренции на рынке аквакультуры,  всем желающим предоставляются торговые места на ярмарке выходного дня, проводимой в муниципальном округе.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Также  предприятия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аквакультуры  информируются  об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оказываемых им мерах государственной поддержки.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1.1.26 Рынок реализации сельскохозяйственной продукции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Одним из приоритетных направлений развития агропромышленного комплекса Ленинградского муниципального округа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остается развитие малых форм хозяйствования. Весомый вклад в продовольственную корзину вносят субъекты малых форм хозяйствования.  В муниципальном округе зарегистрировано 172 КФХ и ИП  и 18,4 тысячи личных подсобных хозяйств.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Ими производится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2,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%  объема молока округа,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% мяса,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% овощей, 100 % объемов картофеля и винограда. В малых формах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хозяйствования округа содержится 20,4 % поголовья крупного рогатого скота ( 1738 голов), в том числе коров- 17,9 % (581 голова), 100%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мелкого рогатого скота (1129 голо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в), 17,2 % поголовья птицы ( 100 тысяч голов).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</w:p>
    <w:p>
      <w:pPr>
        <w:pStyle w:val="33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В 2025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году на  поддержку сельскохозяйственного производства 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выплачена субсидия в размере 2400 тыс. руб.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</w:p>
    <w:p>
      <w:pPr>
        <w:ind w:firstLine="708"/>
        <w:jc w:val="both"/>
        <w:spacing w:after="0" w:line="240" w:lineRule="auto"/>
        <w:rPr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Административные барьеры для дальнейшего входа на рынок реализации сельскохозяйственной продукции отсутствуют.</w:t>
      </w:r>
      <w:r>
        <w:rPr>
          <w:b w:val="0"/>
          <w:bCs w:val="0"/>
          <w:sz w:val="24"/>
          <w:szCs w:val="24"/>
          <w:highlight w:val="white"/>
        </w:rPr>
        <w:t xml:space="preserve"> </w:t>
      </w:r>
      <w:r>
        <w:rPr>
          <w:b w:val="0"/>
          <w:bCs w:val="0"/>
          <w:sz w:val="24"/>
          <w:szCs w:val="24"/>
          <w:highlight w:val="white"/>
        </w:rPr>
      </w:r>
      <w:r>
        <w:rPr>
          <w:b w:val="0"/>
          <w:bCs w:val="0"/>
          <w:sz w:val="24"/>
          <w:szCs w:val="24"/>
          <w:highlight w:val="white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В настоящее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время  внимание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уделяется развитию сельскохозяйственной кооперации. По состоянию на 1 января 2026 г. в Ленинградском муниципальном округе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 зарегистрировано 2 сельскохозяйственных потребительских кооператива.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</w:p>
    <w:p>
      <w:pPr>
        <w:ind w:firstLine="73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В рамках реализации системных мероприятий, направленных на развитие конкуре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  <w:lang w:eastAsia="ru-RU"/>
        </w:rPr>
        <w:t xml:space="preserve">нции на рынке реализации сельскохозяйственной продукции, в муниципальном образовании проводится еженедельная сельскохозяйственная ярмарка выходного дня, в рамках которой все желающие представители малых форм хозяйствования могут реализовать свою продукцию.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8. Сфера промышленности и добычи полезных ископаемых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промышленности о добычи полезных ископаемых, которая состоит из следующих рынков: рынок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легкой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промышленности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промышленности и добычи полезных ископаемых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округа,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49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016794" cy="811032"/>
            <wp:effectExtent l="3175" t="3175" r="3175" b="3175"/>
            <wp:docPr id="14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затруднились ответить 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промышленности и добычи полезных ископаемых по округу.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358106" cy="882595"/>
            <wp:effectExtent l="3175" t="3175" r="3175" b="3175"/>
            <wp:docPr id="15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72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1.1.27 Рынок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легкой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промышленности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ind w:left="720" w:firstLine="0"/>
        <w:jc w:val="left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</w:p>
    <w:p>
      <w:pPr>
        <w:pStyle w:val="33"/>
        <w:ind w:right="-1" w:firstLine="567"/>
        <w:jc w:val="both"/>
        <w:tabs>
          <w:tab w:val="left" w:pos="709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территории муниципального образования Ленинградский муниципальный округ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легкая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промышленность представлена хозяйствующими субъектами частной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формы собственности: юридическими лицами (ОП АО «БТК групп» в ст. Ленинградской», ООО «Глория-Альянс»), 5 индивидуальными предпринимателями, а также самозанятыми жителями Ленинградского муниципального округа , которые ведут свою деятельность в сфере лёгкой промышленности.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right="-1"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Административные барьеры для входа на рынок частного бизнеса отсутствуют. Проблемы развития рынка связаны с высокой насыщенностью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дешевыми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товарами «серого импорта» и «теневого» отечественного производства, а также с отсутствием у предприятий малого бизнеса необходимых финансовых ресурсов для организации конкурентоспособного производства товаров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легкой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промышленности. Учитывая стратегический приоритет развития отрасли как составляющей кластера «умной» промышленности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  <w:t xml:space="preserve">, задачами по развитию конкуренции являются: реализация мер государственной финансовой поддержки предприятий 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  <w:t xml:space="preserve">легкой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  <w:t xml:space="preserve"> промышленности; содействие в продвижении отечественных товаров на рынке; противодействие незаконному обороту товаров 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  <w:t xml:space="preserve">легкой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  <w:t xml:space="preserve"> промышленности.</w:t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 w:eastAsiaTheme="minorHAnsi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9. Сфера торговли и услуг населению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мониторинга состояния и развития конкурентной среды на рынках товаров и услуг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, потребители дали оценку качества товаров и услуг, а также состояния конкуренции в сфере торговли и услуг населению, которая состоит из следующих рынков: рынок строительных материалов, рынок финансовых услуг, рынок нестационарных и мобильных торговых мест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торговли и услуг населению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округа,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79 %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5263175" cy="700589"/>
            <wp:effectExtent l="3175" t="3175" r="3175" b="3175"/>
            <wp:docPr id="16" name="Диаграмма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36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уровень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торговли и услуг населению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705985" cy="834887"/>
            <wp:effectExtent l="3175" t="3175" r="3175" b="3175"/>
            <wp:docPr id="17" name="Диаграмма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right="-1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360" w:firstLine="0"/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1.1.28 Рынок строительных материалов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9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На территории округа осуществляют свою деятельность 3 хозяйствующих субъекта частной формы собственности по производству кирпича: </w:t>
      </w:r>
      <w:r>
        <w:rPr>
          <w:rFonts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ИП Шевченко Дмитрий Александрович,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ООО «Ленинградский кирпич», ООО «Строй-Сервис».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 Годовой объем производства кирпича строительного в муниципальном образовании Ленинградский округ составляет 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в округе около 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3,0 млн. шт.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Также действует одно микропредприятие частной формы собственности ООО «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Бетонсервис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» по производству бетона. 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</w:p>
    <w:p>
      <w:pPr>
        <w:ind w:firstLine="567"/>
        <w:jc w:val="both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  <w:t xml:space="preserve">Административные барьеры для дальнейшего входа на рынок отсутствуют. Основной задачей по развитию конкуренции на рынке строительных материалов является обеспечение добросовестной конкуренции и сохранение сложившегося уровня конкурентных отношений.</w:t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highlight w:val="white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1.1.29 Рынок финансовых услуг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firstLine="709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</w:p>
    <w:p>
      <w:pPr>
        <w:ind w:firstLine="850"/>
        <w:jc w:val="both"/>
        <w:spacing w:after="0" w:line="240" w:lineRule="auto"/>
        <w:widowControl/>
        <w:tabs>
          <w:tab w:val="left" w:pos="827" w:leader="none"/>
        </w:tabs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Фина</w:t>
      </w:r>
      <w:r>
        <w:rPr>
          <w:rFonts w:ascii="Times New Roman" w:hAnsi="Times New Roman"/>
          <w:sz w:val="24"/>
          <w:szCs w:val="24"/>
          <w:highlight w:val="white"/>
        </w:rPr>
        <w:t xml:space="preserve">нсовый рынок Краснодарского края является неотъемлемой частью региональной экономики, обеспечивающий потребности предприятий производственной сферы и населения в кредитных ресурсах, страховую защиту имущественных интересов юридических и физических лиц, под</w:t>
      </w:r>
      <w:r>
        <w:rPr>
          <w:rFonts w:ascii="Times New Roman" w:hAnsi="Times New Roman"/>
          <w:sz w:val="24"/>
          <w:szCs w:val="24"/>
          <w:highlight w:val="white"/>
        </w:rPr>
        <w:t xml:space="preserve">держание активности хозяйствующих субъектов в части применения инструментов фондового рынка. В Ленинградском муниципальном округе осуществляют деятельность 6 кредитных организаций (Российский национальный коммерческий банк (Публичное Акционерное Общество), Коммерческий </w:t>
      </w:r>
      <w:r>
        <w:rPr>
          <w:rFonts w:ascii="Times New Roman" w:hAnsi="Times New Roman"/>
          <w:sz w:val="24"/>
          <w:szCs w:val="24"/>
          <w:highlight w:val="white"/>
        </w:rPr>
        <w:t xml:space="preserve">Банк  «</w:t>
      </w:r>
      <w:r>
        <w:rPr>
          <w:rFonts w:ascii="Times New Roman" w:hAnsi="Times New Roman"/>
          <w:sz w:val="24"/>
          <w:szCs w:val="24"/>
          <w:highlight w:val="white"/>
        </w:rPr>
        <w:t xml:space="preserve">Кубань-Кредит», ПАО «Сбербанк», ПАО КБ «Центр-Инвест», АО «Российский Сельскохозяйственный банк», ПАО «Почта банк».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widowControl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Объем привлечения кредитных ресурсов в экономику муниципального образования </w:t>
      </w:r>
      <w:r>
        <w:rPr>
          <w:rFonts w:ascii="Times New Roman" w:hAnsi="Times New Roman"/>
          <w:sz w:val="24"/>
          <w:szCs w:val="24"/>
          <w:highlight w:val="white"/>
        </w:rPr>
        <w:t xml:space="preserve">за  2025</w:t>
      </w:r>
      <w:r>
        <w:rPr>
          <w:rFonts w:ascii="Times New Roman" w:hAnsi="Times New Roman"/>
          <w:sz w:val="24"/>
          <w:szCs w:val="24"/>
          <w:highlight w:val="white"/>
        </w:rPr>
        <w:t xml:space="preserve"> год составил 5312,5 млн. руб., что на 5,69%  ниже</w:t>
      </w:r>
      <w:r>
        <w:rPr>
          <w:rFonts w:ascii="Times New Roman" w:hAnsi="Times New Roman"/>
          <w:sz w:val="24"/>
          <w:szCs w:val="24"/>
          <w:highlight w:val="white"/>
        </w:rPr>
        <w:t xml:space="preserve">, чем в 2024 году. В структуре </w:t>
      </w:r>
      <w:r>
        <w:rPr>
          <w:rFonts w:ascii="Times New Roman" w:hAnsi="Times New Roman"/>
          <w:sz w:val="24"/>
          <w:szCs w:val="24"/>
          <w:highlight w:val="white"/>
        </w:rPr>
        <w:t xml:space="preserve">привлеченных</w:t>
      </w:r>
      <w:r>
        <w:rPr>
          <w:rFonts w:ascii="Times New Roman" w:hAnsi="Times New Roman"/>
          <w:sz w:val="24"/>
          <w:szCs w:val="24"/>
          <w:highlight w:val="white"/>
        </w:rPr>
        <w:t xml:space="preserve"> кредитных ресурсов преобладают кредиты, выданные юридическим лицам - 4101,0 млн. руб., что на 19,6 % выше, чем в 2024 году</w:t>
      </w:r>
      <w:r>
        <w:rPr>
          <w:rFonts w:ascii="Times New Roman" w:hAnsi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/>
          <w:sz w:val="24"/>
          <w:szCs w:val="24"/>
          <w:highlight w:val="white"/>
        </w:rPr>
        <w:t xml:space="preserve">Физическим лицам выдано </w:t>
      </w:r>
      <w:r>
        <w:rPr>
          <w:rFonts w:ascii="Times New Roman" w:hAnsi="Times New Roman"/>
          <w:sz w:val="24"/>
          <w:szCs w:val="24"/>
          <w:highlight w:val="white"/>
        </w:rPr>
        <w:t xml:space="preserve">-  925,6</w:t>
      </w:r>
      <w:r>
        <w:rPr>
          <w:rFonts w:ascii="Times New Roman" w:hAnsi="Times New Roman"/>
          <w:sz w:val="24"/>
          <w:szCs w:val="24"/>
          <w:highlight w:val="white"/>
        </w:rPr>
        <w:t xml:space="preserve">млн. руб., что на 3,5 % меньше, чем в 2024 году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sz w:val="24"/>
          <w:szCs w:val="24"/>
          <w:highlight w:val="white"/>
        </w:rPr>
        <w:t xml:space="preserve"> Основная причина – это закредитованность и высокий уровень платежей относительно доходов </w:t>
      </w:r>
      <w:r>
        <w:rPr>
          <w:rFonts w:ascii="Times New Roman" w:hAnsi="Times New Roman"/>
          <w:sz w:val="24"/>
          <w:szCs w:val="24"/>
          <w:highlight w:val="white"/>
        </w:rPr>
        <w:t xml:space="preserve">заемщика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widowControl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Ипотечные жилищные кредиты – выдано в 2024 году в общей сумме 367 </w:t>
      </w:r>
      <w:r>
        <w:rPr>
          <w:rFonts w:ascii="Times New Roman" w:hAnsi="Times New Roman"/>
          <w:sz w:val="24"/>
          <w:szCs w:val="24"/>
          <w:highlight w:val="white"/>
        </w:rPr>
        <w:t xml:space="preserve">млн.руб</w:t>
      </w:r>
      <w:r>
        <w:rPr>
          <w:rFonts w:ascii="Times New Roman" w:hAnsi="Times New Roman"/>
          <w:sz w:val="24"/>
          <w:szCs w:val="24"/>
          <w:highlight w:val="white"/>
        </w:rPr>
        <w:t xml:space="preserve">. в результате улучшили свои жилищные условия 116 человека.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ind w:firstLine="850"/>
        <w:jc w:val="both"/>
        <w:spacing w:after="0" w:line="240" w:lineRule="auto"/>
        <w:widowControl/>
        <w:tabs>
          <w:tab w:val="left" w:pos="827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Страховую деятельность в Ленинградском муниципальном округе ведут 5 страховых компании: ООО «Росгосстрах», ООО «ВТБ МС», ОАО «Ресо - г</w:t>
      </w:r>
      <w:r>
        <w:rPr>
          <w:rFonts w:ascii="Times New Roman" w:hAnsi="Times New Roman"/>
          <w:sz w:val="24"/>
          <w:szCs w:val="24"/>
          <w:highlight w:val="white"/>
        </w:rPr>
        <w:t xml:space="preserve">арантия», ООО «Верна», «ВСК». </w:t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ind w:firstLine="850"/>
        <w:jc w:val="both"/>
        <w:spacing w:after="0" w:line="240" w:lineRule="auto"/>
        <w:widowControl/>
        <w:tabs>
          <w:tab w:val="left" w:pos="827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В 2025 году проведено социологическое исследование среди городских и сельских жителей в различных возрастных категориях.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850"/>
        <w:jc w:val="both"/>
        <w:spacing w:after="0" w:line="240" w:lineRule="auto"/>
        <w:widowControl/>
        <w:tabs>
          <w:tab w:val="left" w:pos="827" w:leader="none"/>
        </w:tabs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Респонденты отвечали на вопросы, касающиеся ли</w:t>
      </w:r>
      <w:r>
        <w:rPr>
          <w:rFonts w:ascii="Times New Roman" w:hAnsi="Times New Roman"/>
          <w:sz w:val="24"/>
          <w:szCs w:val="24"/>
          <w:highlight w:val="white"/>
        </w:rPr>
        <w:t xml:space="preserve">чного финансового планирования, доступности финансовых услуг, безопасности. Уровень финансовой грамотности населения в 2025 году составил 87,4%, на 4,9% выше, чем в 2024 году. В 2026 году будет продолжена работа по повышению уровня финансовой грамотности.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widowControl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Административные барьеры для входа на рынок финансовых услуг частных финансовых организаций отсутствуют.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contextualSpacing/>
        <w:ind w:firstLine="708"/>
        <w:jc w:val="center"/>
        <w:widowControl/>
        <w:rPr>
          <w:rFonts w:ascii="Times New Roman" w:hAnsi="Times New Roman" w:cs="Times New Roman"/>
          <w:b/>
          <w:color w:val="000000"/>
          <w:sz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1.1.30 Рынок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нестационарных и мобильных торговых мест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r>
    </w:p>
    <w:p>
      <w:pPr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На территории Ленинградского муниципального округа функционирует 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603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 объекта розничной торговли, из них 37 объектов розничной торговли федеральных сетей, 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51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 объект общественного питания,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 268 </w:t>
      </w:r>
      <w:r>
        <w:rPr>
          <w:rStyle w:val="659"/>
          <w:rFonts w:ascii="Times New Roman" w:hAnsi="Times New Roman"/>
          <w:sz w:val="24"/>
          <w:szCs w:val="24"/>
          <w:highlight w:val="white"/>
        </w:rPr>
        <w:t xml:space="preserve"> субъектов бытового обслуживания.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В 2025 году на территории </w:t>
      </w:r>
      <w:r>
        <w:rPr>
          <w:rFonts w:ascii="Times New Roman" w:hAnsi="Times New Roman"/>
          <w:sz w:val="24"/>
          <w:szCs w:val="24"/>
          <w:highlight w:val="white"/>
        </w:rPr>
        <w:t xml:space="preserve">Ленинградского 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муниципального округа  осуществляли свою деятельность 10 ярмарок, это: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1 ярмарка по продаже декоративных и домашних птиц и животных на 170 торговых мест;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2 ярмарки на территории торгового комплекса ООО «Форум» на 300 торговых мест каждая: ярмарка «выходного дня» и универсальная ярмарка;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6 ярмарок </w:t>
      </w:r>
      <w:r>
        <w:rPr>
          <w:rFonts w:ascii="Times New Roman" w:hAnsi="Times New Roman"/>
          <w:sz w:val="24"/>
          <w:szCs w:val="24"/>
          <w:highlight w:val="white"/>
        </w:rPr>
        <w:t xml:space="preserve">на 111 мест</w:t>
      </w:r>
      <w:r>
        <w:rPr>
          <w:rFonts w:ascii="Times New Roman" w:hAnsi="Times New Roman"/>
          <w:sz w:val="24"/>
          <w:szCs w:val="24"/>
          <w:highlight w:val="white"/>
        </w:rPr>
        <w:t xml:space="preserve"> на территории станицы </w:t>
      </w:r>
      <w:r>
        <w:rPr>
          <w:rFonts w:ascii="Times New Roman" w:hAnsi="Times New Roman"/>
          <w:sz w:val="24"/>
          <w:szCs w:val="24"/>
          <w:highlight w:val="white"/>
        </w:rPr>
        <w:t xml:space="preserve">Ленинградской, </w:t>
      </w:r>
      <w:r>
        <w:rPr>
          <w:rFonts w:ascii="Times New Roman" w:hAnsi="Times New Roman"/>
          <w:sz w:val="24"/>
          <w:szCs w:val="24"/>
          <w:highlight w:val="white"/>
        </w:rPr>
        <w:t xml:space="preserve">Крыловской, Новоплатнировской, поселка Октябрьского, хутора  Куликовского, поселка Уманского.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Схемы размещения нестационарных торговых объектов включают в себя 45 адресных ориентиров, в том числе 14 мест для торговли фермерами и товаропроизводителями. Из них на 26 мест заключены договора на размещение нестационарных </w:t>
      </w:r>
      <w:r>
        <w:rPr>
          <w:rFonts w:ascii="Times New Roman" w:hAnsi="Times New Roman"/>
          <w:sz w:val="24"/>
          <w:szCs w:val="24"/>
          <w:highlight w:val="white"/>
        </w:rPr>
        <w:t xml:space="preserve">торговых объектов. 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Наиболее важным фактором конкурентоспособности услуг на рынке розничной торговли является высокое качество и уникальность продукции.</w:t>
      </w:r>
      <w:r>
        <w:rPr>
          <w:rFonts w:ascii="Times New Roman" w:hAnsi="Times New Roman"/>
          <w:sz w:val="24"/>
          <w:szCs w:val="24"/>
          <w:highlight w:val="white"/>
        </w:rPr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Административные барьеры для дальнейшего выхода частного предпринимательства на анализируемый товарных рынок отсутствуют. Основной задачей по развитию конкуренции на рынке является обеспечение добросовестной конкуренции и сохранение сложившегося у</w:t>
      </w:r>
      <w:r>
        <w:rPr>
          <w:rFonts w:ascii="Times New Roman" w:hAnsi="Times New Roman"/>
          <w:sz w:val="24"/>
          <w:szCs w:val="24"/>
          <w:highlight w:val="white"/>
        </w:rPr>
        <w:t xml:space="preserve">ровня конкурентных отношений.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360" w:firstLine="0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10. Сфера спорта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По результатам 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проведенного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 монитор</w:t>
      </w:r>
      <w:r>
        <w:rPr>
          <w:rFonts w:ascii="Times New Roman" w:hAnsi="Times New Roman" w:cs="Times New Roman"/>
          <w:spacing w:val="-6"/>
          <w:sz w:val="24"/>
          <w:szCs w:val="24"/>
          <w:highlight w:val="white"/>
        </w:rPr>
        <w:t xml:space="preserve">инга состояния и развития конкурентной среды на рынках товаров и услуг, потребители дали оценку качества товаров и услуг, а также состояния конкуренции в сфере спорта, которая состоит из следующих рынков: рынок услуг в области фитнеса, физкультуры и спорта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: население округа, отмечает достаточное количество услуг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в сфере спорта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оказываемых на территории нашего округа, так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75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организаций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в округе достаточно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956014" cy="755015"/>
            <wp:effectExtent l="3175" t="3175" r="3175" b="3175"/>
            <wp:docPr id="18" name="Диаграмма 2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43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считают, что уровень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качеств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услуг в сфере спорта по округу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повысился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  <w:lang w:eastAsia="ru-RU"/>
        </w:rPr>
        <w:drawing>
          <wp:inline distT="0" distB="0" distL="0" distR="0">
            <wp:extent cx="4802588" cy="834390"/>
            <wp:effectExtent l="0" t="0" r="17145" b="3810"/>
            <wp:docPr id="19" name="Диаграмма 29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675"/>
        <w:ind w:left="4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675"/>
        <w:numPr>
          <w:ilvl w:val="2"/>
          <w:numId w:val="28"/>
        </w:numPr>
        <w:jc w:val="center"/>
        <w:spacing w:after="0" w:line="240" w:lineRule="auto"/>
        <w:tabs>
          <w:tab w:val="left" w:pos="49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highlight w:val="white"/>
        </w:rPr>
      </w:r>
      <w:bookmarkStart w:id="0" w:name="undefined"/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Рынок услуг в области фитнеса, физкультуры и спорта </w:t>
      </w:r>
      <w:bookmarkEnd w:id="0"/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территории округа действует 4 спортивные школы отрасли физич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еской культуры и спорта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В каждом поселении есть физкультурно-спортивные клубы, которые являются постоянными участниками спортивных мероприятий округа.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территории муниципального образования Ленинградский муниципальный округ функционируют 4 спортивные школы, численность в которых составляет 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066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человек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от общего количества детей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лет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Всего систематически занимающихся физической культурой и спортом 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6059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(66% от общей численности населения от 3 до 79 лет),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981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инвалид (в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г 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950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человек).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305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чел. имеют спортивные разряды из них (1спортивный-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чел., КМС-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12 чел.)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Ленинградском муниципальном округе расположено 10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спортивных объекта 2 стадиона (1 – Ленинградская, 1- Крыловская), 1 гребная база и 1 городошный корт, 2 плавательных бассейна, 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плоскостных спортивных сооружений из них (4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муниципальных, 4 субъекта), футбольные поля, тир, варкаут площадки,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универсальные игровые площадки, уличные тренажеры.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Всего единовременная пропускная способность всех спортивных сооружений округа–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3735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человек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left="0" w:righ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50" w:firstLine="0"/>
        <w:jc w:val="left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1.2 Результаты мониторинга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удовлетворенности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потребителей качеством товаров, работ и услуг в сферах экономики региона и состоянием ценовой конкуренции.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659"/>
        <w:ind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14" w:right="29" w:firstLine="72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соответствии с распоряжением Правительства Российской Федерации от 17 апреля 2019 г. № 768-р, министерством экономики Краснодарского края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проведен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ежегодный 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ониторинг состояния и развития конкуренции на товарных Краснодарские края. В целях улучшения качества и достоверности сведений о состоянии конкуренции на товарных рынках Краснодарского края, данный мониторинг проводился в период с 1 ноября по 30 ноября 202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года.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1_168574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highlight w:val="none"/>
          <w:lang w:eastAsia="en-US"/>
        </w:rPr>
      </w:pPr>
      <w:r>
        <w:rPr>
          <w:rFonts w:eastAsia="Calibri"/>
          <w:bCs/>
          <w:highlight w:val="white"/>
          <w:lang w:eastAsia="en-US"/>
        </w:rPr>
        <w:t xml:space="preserve">Опрошенные респонденты оценили </w:t>
      </w:r>
      <w:r>
        <w:rPr>
          <w:rFonts w:eastAsia="Calibri"/>
          <w:bCs/>
          <w:highlight w:val="white"/>
          <w:lang w:eastAsia="en-US"/>
        </w:rPr>
        <w:t xml:space="preserve">удовлетворенность</w:t>
      </w:r>
      <w:r>
        <w:rPr>
          <w:rFonts w:eastAsia="Calibri"/>
          <w:bCs/>
          <w:highlight w:val="white"/>
          <w:lang w:eastAsia="en-US"/>
        </w:rPr>
        <w:t xml:space="preserve"> характеристиками товаров и услуг по уровню качества, предоставляемых населению в разрезе рынков следующим образом:</w:t>
      </w:r>
      <w:r>
        <w:rPr>
          <w:rFonts w:eastAsia="Calibri"/>
          <w:bCs/>
          <w:highlight w:val="white"/>
          <w:lang w:eastAsia="en-US"/>
        </w:rPr>
      </w:r>
      <w:r>
        <w:rPr>
          <w:rFonts w:eastAsia="Calibri"/>
          <w:bCs/>
          <w:highlight w:val="white"/>
          <w:lang w:eastAsia="en-US"/>
        </w:rPr>
      </w:r>
    </w:p>
    <w:p>
      <w:pPr>
        <w:pStyle w:val="1_168574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highlight w:val="white"/>
        </w:rPr>
      </w:pPr>
      <w:r>
        <w:rPr>
          <w:rFonts w:eastAsia="Calibri"/>
          <w:bCs/>
          <w:highlight w:val="none"/>
          <w:lang w:eastAsia="en-US"/>
        </w:rPr>
      </w:r>
      <w:r>
        <w:rPr>
          <w:rFonts w:eastAsia="Calibri"/>
          <w:bCs/>
          <w:highlight w:val="none"/>
          <w:lang w:eastAsia="en-US"/>
        </w:rPr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1276"/>
        <w:gridCol w:w="1418"/>
        <w:gridCol w:w="1417"/>
        <w:gridCol w:w="1843"/>
      </w:tblGrid>
      <w:tr>
        <w:tblPrEx/>
        <w:trPr>
          <w:trHeight w:val="79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Наименование рынка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качества снизился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качества повысился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качества не изменился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Социальная сфера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Транспортный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Агропромышленный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Промышленность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Торговля и услуги населению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Спорт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1_168574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highlight w:val="white"/>
        </w:rPr>
      </w:pPr>
      <w:r>
        <w:rPr>
          <w:rFonts w:eastAsia="Calibri"/>
          <w:bCs/>
          <w:highlight w:val="none"/>
          <w:lang w:eastAsia="en-US"/>
        </w:rPr>
      </w:r>
      <w:r>
        <w:rPr>
          <w:rFonts w:eastAsia="Calibri"/>
          <w:bCs/>
          <w:highlight w:val="none"/>
          <w:lang w:eastAsia="en-US"/>
        </w:rPr>
      </w:r>
    </w:p>
    <w:p>
      <w:pPr>
        <w:pStyle w:val="1_168574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highlight w:val="none"/>
          <w:lang w:eastAsia="en-US"/>
        </w:rPr>
      </w:pPr>
      <w:r>
        <w:rPr>
          <w:rFonts w:eastAsia="Calibri"/>
          <w:bCs/>
          <w:highlight w:val="white"/>
          <w:lang w:eastAsia="en-US"/>
        </w:rPr>
        <w:t xml:space="preserve">Опрошенные респонденты оценили уровень цен на товары и услуги, предоставляемых населению в разрезе рынков следующим образом:</w:t>
      </w:r>
      <w:r>
        <w:rPr>
          <w:rFonts w:eastAsia="Calibri"/>
          <w:bCs/>
          <w:highlight w:val="white"/>
          <w:lang w:eastAsia="en-US"/>
        </w:rPr>
      </w:r>
      <w:r>
        <w:rPr>
          <w:rFonts w:eastAsia="Calibri"/>
          <w:bCs/>
          <w:highlight w:val="white"/>
          <w:lang w:eastAsia="en-US"/>
        </w:rPr>
      </w:r>
    </w:p>
    <w:p>
      <w:pPr>
        <w:pStyle w:val="1_168574"/>
        <w:ind w:firstLine="567"/>
        <w:jc w:val="both"/>
        <w:spacing w:before="0" w:beforeAutospacing="0" w:after="0" w:afterAutospacing="0"/>
        <w:tabs>
          <w:tab w:val="left" w:pos="-142" w:leader="none"/>
        </w:tabs>
        <w:rPr>
          <w:rFonts w:eastAsia="Calibri"/>
          <w:highlight w:val="none"/>
          <w:lang w:eastAsia="en-US"/>
        </w:rPr>
      </w:pPr>
      <w:r>
        <w:rPr>
          <w:rFonts w:eastAsia="Calibri"/>
          <w:bCs/>
          <w:highlight w:val="none"/>
          <w:lang w:eastAsia="en-US"/>
        </w:rPr>
      </w:r>
      <w:r>
        <w:rPr>
          <w:rFonts w:eastAsia="Calibri"/>
          <w:bCs/>
          <w:highlight w:val="none"/>
          <w:lang w:eastAsia="en-US"/>
        </w:rPr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1276"/>
        <w:gridCol w:w="1418"/>
        <w:gridCol w:w="1417"/>
        <w:gridCol w:w="1843"/>
      </w:tblGrid>
      <w:tr>
        <w:tblPrEx/>
        <w:trPr>
          <w:trHeight w:val="895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Наименование рынка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цен снизился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цен увеличился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цен не изменился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Социальная сфера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Здравоохранени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Транспортный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196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215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Агропромышленный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Промышленность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160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Торговля и услуги населению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225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163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7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2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Спорт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182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659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45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1.3 Удовлетворенность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субъектов предпринимательской деятельности и потребителе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й товаров и услуг качеством официальной информации о состоянии конкурентной среды на товарных рынках региона и деятельности по содействию развитию конкуренции, размещаемой администрацией Краснодарского края и муниципального образования Ленинградский муниципальный округ.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left="45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none"/>
        </w:rPr>
      </w:pPr>
      <w:r>
        <w:rPr>
          <w:highlight w:val="white"/>
        </w:rPr>
        <w:t xml:space="preserve">Субъектами предпринимательской де</w:t>
      </w:r>
      <w:r>
        <w:rPr>
          <w:highlight w:val="white"/>
        </w:rPr>
        <w:t xml:space="preserve">ятельности была дана оценка официальной информации о состоянии конкурентной среды на рынках товаров и услуг муниципального образования Ленинградский муниципальный округ и деятельности по содействию развитию конкуренции в муниципальном образовании Ленинградский муниципальный округ по </w:t>
      </w:r>
      <w:r>
        <w:rPr>
          <w:highlight w:val="white"/>
        </w:rPr>
        <w:t xml:space="preserve">трем</w:t>
      </w:r>
      <w:r>
        <w:rPr>
          <w:highlight w:val="white"/>
        </w:rPr>
        <w:t xml:space="preserve"> основным критериям: уровень доступности, уровень понятности, удобство получения. Предметом оценивания являлась информация, </w:t>
      </w:r>
      <w:r>
        <w:rPr>
          <w:highlight w:val="white"/>
        </w:rPr>
        <w:t xml:space="preserve">размещенная</w:t>
      </w:r>
      <w:r>
        <w:rPr>
          <w:highlight w:val="white"/>
        </w:rPr>
        <w:t xml:space="preserve"> Уполномоченными органами Краснодарского края и администрации муниципального образования Ленинградский муниципальный округ. </w:t>
      </w:r>
      <w:r>
        <w:rPr>
          <w:highlight w:val="white"/>
        </w:rPr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none"/>
        </w:rPr>
      </w:r>
      <w:r>
        <w:rPr>
          <w:highlight w:val="none"/>
        </w:rPr>
      </w:r>
    </w:p>
    <w:tbl>
      <w:tblPr>
        <w:tblStyle w:val="681"/>
        <w:tblW w:w="9634" w:type="dxa"/>
        <w:tblLayout w:type="fixed"/>
        <w:tblLook w:val="04A0" w:firstRow="1" w:lastRow="0" w:firstColumn="1" w:lastColumn="0" w:noHBand="0" w:noVBand="1"/>
      </w:tblPr>
      <w:tblGrid>
        <w:gridCol w:w="3823"/>
        <w:gridCol w:w="2551"/>
        <w:gridCol w:w="1701"/>
        <w:gridCol w:w="1559"/>
      </w:tblGrid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Удовлетво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Неудовлетво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Затрудняюсь ответить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Уровень доступности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Уровень понятности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382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Удобство получения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450" w:firstLine="0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1.4 Мониторинг развития передовых производственных технологий и их внедрения, а также процесса цифровизации экономики и формирования новых рынков и секторов.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Удовлетворенность доступностью и качеством ц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ифровых услуг на территории муниципального образования Ленинградский муниципальный округ хозяйствующими субъектами оценивалась по следующим критериям: «Удовлетворительно»,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«Не удовлетворительно»,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«Не сталкивался»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tbl>
      <w:tblPr>
        <w:tblW w:w="9654" w:type="dxa"/>
        <w:tblInd w:w="9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4A0" w:firstRow="1" w:lastRow="0" w:firstColumn="1" w:lastColumn="0" w:noHBand="0" w:noVBand="1"/>
      </w:tblPr>
      <w:tblGrid>
        <w:gridCol w:w="4126"/>
        <w:gridCol w:w="1134"/>
        <w:gridCol w:w="1134"/>
        <w:gridCol w:w="1276"/>
      </w:tblGrid>
      <w:tr>
        <w:tblPrEx/>
        <w:trPr>
          <w:trHeight w:val="113"/>
        </w:trPr>
        <w:tc>
          <w:tcPr>
            <w:shd w:val="clear" w:color="ffffff" w:fill="ffffff"/>
            <w:tcW w:w="4126" w:type="dxa"/>
            <w:vAlign w:val="center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Удовлетворительно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 удовлетворительно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Не сталкивался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Портал инспекции федеральной налоговой службы по Краснодарскому краю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Портал государственных услуг Российской Федерации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Единый портал Многофункциональных центров предоставления государственных и муниципальных услуг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Интернет-банкинг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Инвестиционный портал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Онлайн-торговля (реализация товаров и услуг (операции которые совершаются удаленно), таких как реализация электронных билетов, различные личные кабинеты и т.д.)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tcW w:w="412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Информационные порталы Администрации и органов исполнительной власти Краснодарского края 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 результатам опроса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69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респондентов удовлетворены доступностью и качеством следующих цифровых услуг:</w:t>
      </w:r>
      <w:r>
        <w:rPr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Портал государственных ус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луг Российской Федерации, портал инспекции федеральной налоговой службы по Краснодарскому краю, онлайн-торговля (реализация товаров и услуг (операции которые совершаются удаленно), таких как реализация электронных билетов, различные личные кабинеты и т.д.)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69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удовлетворены доступностью и качеством</w:t>
      </w:r>
      <w:r>
        <w:rPr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информационных порталов Администрации и органов исполнительной власти Краснодарского края,</w:t>
      </w:r>
      <w:r>
        <w:rPr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нтернет-банкинг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ов,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дины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портал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Многофункциональных центров предоставления государственных и муниципальных услуг Краснодарского края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58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% опрошенных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удовлетворены доступностью и качеством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инвестиционного портала Краснодарского края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 мнению хозяйствующих субъектов, применение цифровых технологий повлияет на деятельность предприятия/организации следующим образом: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94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670"/>
        <w:gridCol w:w="920"/>
        <w:gridCol w:w="880"/>
      </w:tblGrid>
      <w:tr>
        <w:tblPrEx/>
        <w:trPr>
          <w:jc w:val="center"/>
          <w:trHeight w:val="315"/>
        </w:trPr>
        <w:tc>
          <w:tcPr>
            <w:shd w:val="clear" w:color="ffffff" w:fill="ffffff"/>
            <w:tcW w:w="7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Чел.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8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ffffff" w:fill="ffffff"/>
            <w:tcW w:w="7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производительности труда увеличился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8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ffffff" w:fill="ffffff"/>
            <w:tcW w:w="7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производительности труда снизился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8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ffffff" w:fill="ffffff"/>
            <w:tcW w:w="7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производительности труда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не изменился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8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shd w:val="clear" w:color="ffffff" w:fill="ffffff"/>
            <w:tcBorders>
              <w:bottom w:val="single" w:color="000000" w:sz="12" w:space="0"/>
            </w:tcBorders>
            <w:tcW w:w="76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и одна из технологий в 2024 году не была использована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12" w:space="0"/>
            </w:tcBorders>
            <w:tcW w:w="9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12" w:space="0"/>
            </w:tcBorders>
            <w:tcW w:w="880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</w:tbl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Исходя из полученных результатов можно сделать вывод, что большинству респондентов все еще сложно оценить преимущества внедрения цифровых технологий для ведения бизнеса, но, в свою очередь, более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28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респондентов,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считающих, что внедрение цифровых технологий улучшит/значительно улучшит деятельность предприятия/организации.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675"/>
        <w:contextualSpacing w:val="0"/>
        <w:ind w:left="0" w:firstLine="567"/>
        <w:jc w:val="both"/>
        <w:spacing w:after="0" w:line="240" w:lineRule="auto"/>
        <w:tabs>
          <w:tab w:val="left" w:pos="284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Наиболее существенными для бизнеса препятствиями при разработке передовых производственных технологий,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нехватка финансов, э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то отметили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9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респондентов. Для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26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опрошенных, препятствием является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нехватка квалифицированных кадров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34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% опрошенных барьеры вовсе отсутствуют.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Раздел 2. Результаты мониторинга деятельности хозяйствующих субъектов, доля участия муниципального образования в которых составляет 50 и более процентов.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0" w:name="undefined"/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территории муниципального образования Ленинградский муниципальный округ финансово-хозяйственную деятельность осуществляют: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- 2 муниципальных унитарных предприятия (далее - МУП), в том числе</w:t>
      </w:r>
      <w:r>
        <w:rPr>
          <w:rFonts w:ascii="Times New Roman" w:hAnsi="Times New Roman" w:eastAsia="Calibri" w:cs="Times New Roman"/>
          <w:sz w:val="24"/>
          <w:szCs w:val="24"/>
          <w:highlight w:val="white"/>
          <w:lang w:eastAsia="en-US"/>
        </w:rPr>
        <w:t xml:space="preserve"> 1 МУП оказывает услуги рынка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водоснабжения и водоотведения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;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1 МУП оказывает услуги рынка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теплоснабжения (производство тепловой энергии);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МУП ЖКХ «ВОДОКАНАЛ»  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МУП «Ленинградский теплоцентр»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- 24 подведомственных муниципальных учреждения муниципального образования, оказывающие услуги на рынке дошкольного образования;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- 21 подведомственное муниципальное учреждение муниципального образования, оказывающие услуги на рынке общего образования;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- 4 подведомственных муниципальных учреждения муниципального образования, оказывающие услуги на рынке дополнительного образования детей;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- 4 подведомственных муниципальных учреждения муниципального образования, оказывающие образовательные услуги.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Реестр хозяйствующих субъектов доля участия муниц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ипального образования в которых составляет 50 и более процентов приведен в приложении 1 к отчету, а также размещен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официальном сайте муниципального образования Ленинградский муниципальный округ в разделе «Стандарт развития конкуренции»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https://adminlenkub.ru/item/719322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)</w:t>
      </w:r>
      <w:bookmarkEnd w:id="0"/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Раздел 3. Создание и реализация механизмов общественного контроля за деятельностью субъектов естественных монополий.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территории Ленинградского муниципального округа обособленные подразделения субъектов естественной монополии (хозяйствующие субъекты, занятые производством товаров в условиях естественной монополии) и юридические лица оказывают следующие услуги: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транспортировка газа по трубопроводам (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филиал № 15 АО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«Газпром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газораспределение Краснодар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»);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услуги общедоступной почтовой связи (Отделения Почты России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);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водоснабжение и водоотведение с использованием централизованных систем, систем коммунальной инфраструктуры (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МУП ЖКХ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одоканал»);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услуги по предоставлению электроэнергии (ПАО «Кубаньэнерго»);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услуги по передаче тепловой энергии (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филиал «Ленинградские тепловые сети» ООО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СПКК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настоящее время, в с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оответствие с действующим законодательством, тарифы на услуги естественных монополий на муниципальном уровне не регулируются.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Органом ценового регулирования является РЭК- департамент цен и тарифов Краснодарского края.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Структура тарифов на услуги, параметры качества 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надежности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предоставляемых услуг, стандартах обслуживания потребителей и процедур получения потребителями услуг ООО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Газпроммежрегионгаз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Краснодар», ПАО «Кубаньэнерго», ФГУП «Почта России» является прозрачной и открытой, размещается в сети Интернет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-2268" w:leader="none"/>
        </w:tabs>
        <w:rPr>
          <w:rFonts w:ascii="Times New Roman" w:hAnsi="Times New Roman" w:eastAsia="Calibri" w:cs="Times New Roman"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en-US"/>
        </w:rPr>
        <w:t xml:space="preserve">Качество и объем услуг, предоставляемых субъектами естественной монополии на территории 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  <w:lang w:eastAsia="en-US"/>
        </w:rPr>
        <w:t xml:space="preserve">муниципального образования Ленинградский муниципальный округ, соответствуют установленным 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  <w:lang w:eastAsia="en-US"/>
        </w:rPr>
        <w:t xml:space="preserve">требованиям федерального законодательства, законодательства Краснодарского края, нормативным правовым актам муниципального образования Ленинградский муниципальный округ.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  <w:lang w:eastAsia="en-US"/>
        </w:rPr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  <w:lang w:eastAsia="en-US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Контроль за соблюдением установленных тарифо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предоставляемых услуг осуществляется Региональной Энергетической Комиссией Краснодарского края. Нарушения действующего законодательства отсутствуют.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Тарифное регулирование на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год проведено с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учетом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показателей прогнозов социально-экономического развития Российской Федерации на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год и на плановый период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– 202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годов, социально-экономического развития Российской Федерации на период 2028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  <w:t xml:space="preserve"> года, а также на основании принятых ФАС России решений об установлении предельных минимальных и максимальных уровней тарифов на электроэнергию для населения субъектов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структуру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платежного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документа помимо коммунальных услуг, которые регулируются государством, входят также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жилищные услуги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(например, содержание и ремонт жилого помещения, домофон, охрана и т.п.),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стоимость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которых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не регулируется государством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Она определяется самими собственниками жилых помещений при выборе способа управления многоквартирным домом (непосредственный способ управления, ТСЖ,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ЖКС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, либо с привлечением управляющих компаний) и фиксируется в договоре.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Размер платы за жилищные услуги следует уточнять в своей Управляющей компании либо в договоре управления домом.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Раздел 4. Административные барьеры, препятствующие развитию малого и среднего предпринимательства.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На территории муниципального образования Ленинградский муниципальный округ осуществляют хозяйствующую деятельность 2197 субъектов малого и среднего предпринимательства.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ind w:left="14" w:right="29" w:firstLine="720"/>
        <w:jc w:val="both"/>
        <w:spacing w:after="0" w:line="240" w:lineRule="auto"/>
        <w:shd w:val="clear" w:color="auto" w:fill="ffff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соответствии с распоряжением Правительства Российской Федерации от 17 апреля 2019 г. № 768-р, министерством экономики Краснодарского края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проведен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ежегодный мониторин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г состояния и развития конкуренции на товарных рынках Краснодарского края. В целях улучшения качества и достоверности сведений о состоянии конкуренции на товарных рынках Краснодарского края, данный мониторинг проводился в период с 1 ноября по 30 ноября 202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года. 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33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 разрезе товарных рынков, субъекты предпринимательской деятельности, принявшие участие в опросе, поделены следующим образом.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33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7229"/>
        <w:gridCol w:w="2268"/>
      </w:tblGrid>
      <w:tr>
        <w:tblPrEx/>
        <w:trPr>
          <w:trHeight w:val="579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Товарный рынок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Количество опрошенных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right="-12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чел.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Сфера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Социальная сфера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Здравоохранение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9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ЖКХ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Транспортный комплекс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Информационные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Агропромышленный комплекс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Промышленности и добыча полезных ископаемых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Торговля и услуги населению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Санаторно-курортный комплекс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pStyle w:val="675"/>
              <w:numPr>
                <w:ilvl w:val="0"/>
                <w:numId w:val="33"/>
              </w:numPr>
              <w:ind w:left="0" w:firstLine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Спорт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  <w:t xml:space="preserve">По мнению субъектов предпринимательской деятельности, наиболее эффективными мерами для повышения конкурентоспособности продукции/работ/услуг и развитию бизнеса, которые предпринимались в течение последних 3-х лет являются:</w:t>
      </w:r>
      <w:r>
        <w:rPr>
          <w:highlight w:val="white"/>
        </w:rPr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Сокращение затрат на производство/ реализацию продукции </w:t>
      </w:r>
      <w:r>
        <w:rPr>
          <w:highlight w:val="white"/>
        </w:rPr>
        <w:t xml:space="preserve">- 40 %;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Обучение и переподготовка персонала</w:t>
      </w:r>
      <w:r>
        <w:rPr>
          <w:highlight w:val="white"/>
        </w:rPr>
        <w:t xml:space="preserve"> - 28 %;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Новые способы продвижения продукции (маркетинговые стратегии)</w:t>
      </w:r>
      <w:r>
        <w:rPr>
          <w:highlight w:val="white"/>
        </w:rPr>
        <w:t xml:space="preserve"> - 13 %;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Приобретение технологий, патентов, лицензий, ноу-хау</w:t>
      </w:r>
      <w:r>
        <w:rPr>
          <w:highlight w:val="white"/>
        </w:rPr>
        <w:t xml:space="preserve"> 9 %;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Разработка новых модификаций и форм производимой продукции, расширение ассортимента </w:t>
      </w:r>
      <w:r>
        <w:rPr>
          <w:highlight w:val="white"/>
        </w:rPr>
        <w:t xml:space="preserve">7 %;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Самостоятельное проведение НИОКР (Научно-исследовательские и опытно-конструкторские работы)</w:t>
      </w:r>
      <w:r>
        <w:rPr>
          <w:highlight w:val="white"/>
        </w:rPr>
        <w:t xml:space="preserve"> 3 %;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Выход на новые продуктовые рынки (реализация полностью нового для бизнеса товара/ работы/ услуги)</w:t>
      </w:r>
      <w:r>
        <w:rPr>
          <w:highlight w:val="white"/>
        </w:rPr>
        <w:t xml:space="preserve"> 6 %;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Развитие и расширение системы представительств (торговой сети, сети филиалов и пр.)</w:t>
      </w:r>
      <w:r>
        <w:rPr>
          <w:highlight w:val="white"/>
        </w:rPr>
        <w:t xml:space="preserve"> 6 % ;</w:t>
      </w:r>
      <w:r>
        <w:rPr>
          <w:highlight w:val="white"/>
        </w:rPr>
      </w:r>
    </w:p>
    <w:p>
      <w:pPr>
        <w:pStyle w:val="1_168574"/>
        <w:ind w:right="-5" w:firstLine="567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Не предпринималось никаких действий</w:t>
      </w:r>
      <w:r>
        <w:rPr>
          <w:highlight w:val="white"/>
        </w:rPr>
        <w:t xml:space="preserve"> 15 %.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Наиболее часто, субъекты предпринимательской деятельности, осуществляющие свою деятельность на территории муниципального образования, сталкивались со следующими административными барьерами: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ри регистрации субъектов малого и среднего предпринимательства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36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% респондентов;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ри лицензировании отдельных видов деятельности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21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% респондентов;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ри сертификации и стандартизации продукции, работ и услуг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% респондентов;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ри контроле и надзоре за текущей предпринимательской деятельностью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– 19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 % респондентов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 вопрос анкетирования: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ак изменился уровень административных барьеров на товарном рынке, основном для бизнеса, который Вы представляете, в течение последних 3 лет?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 субъекты предпринимательской деятельности отметили следующее: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tbl>
      <w:tblPr>
        <w:tblW w:w="94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642"/>
        <w:gridCol w:w="760"/>
      </w:tblGrid>
      <w:tr>
        <w:tblPrEx/>
        <w:trPr>
          <w:trHeight w:val="315"/>
        </w:trPr>
        <w:tc>
          <w:tcPr>
            <w:shd w:val="clear" w:color="ffffff" w:fill="ffffff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Административные барьеры были полностью устранены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Административные барьеры отсутствуют, как и ранее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294"/>
        </w:trPr>
        <w:tc>
          <w:tcPr>
            <w:shd w:val="clear" w:color="ffffff" w:fill="ffffff"/>
            <w:tcBorders>
              <w:bottom w:val="single" w:color="000000" w:sz="12" w:space="0"/>
            </w:tcBorders>
            <w:tcW w:w="86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Бизнесу стало проще преодолевать административные барьеры, чем раньше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12" w:space="0"/>
            </w:tcBorders>
            <w:tcW w:w="76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294"/>
        </w:trPr>
        <w:tc>
          <w:tcPr>
            <w:shd w:val="clear" w:color="ffffff" w:fill="ffffff"/>
            <w:tcBorders>
              <w:bottom w:val="single" w:color="000000" w:sz="12" w:space="0"/>
            </w:tcBorders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Бизнесу стало сложнее преодолевать административные барьеры, чем раньше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bottom w:val="single" w:color="000000" w:sz="12" w:space="0"/>
            </w:tcBorders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single" w:color="000000" w:sz="12" w:space="0"/>
            </w:tcBorders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Ранее административные барьеры отсутствовали, однако сейчас появились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12" w:space="0"/>
            </w:tcBorders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864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Уровень и количество административных барьеров не изменились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760" w:type="dxa"/>
            <w:vAlign w:val="bottom"/>
            <w:vMerge w:val="restart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W w:w="864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Затрудняюсь ответить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  <w:tc>
          <w:tcPr>
            <w:shd w:val="clear" w:color="ffffff" w:fill="ffffff"/>
            <w:tcW w:w="760" w:type="dxa"/>
            <w:vAlign w:val="bottom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cs="Times New Roman"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По результатам опроса субъектов предпринимательского сообщества на действия соответствующих служб, оказывающих услуги в пределах своих полномочий, жалоб и претензий не поступало.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Раздел 5. Результаты реализации мероприятий «дорожной карты» по содействию развитию конкуренции муниципального образования.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highlight w:val="white"/>
        </w:rPr>
      </w:r>
      <w:bookmarkStart w:id="0" w:name="undefined"/>
      <w:r>
        <w:rPr>
          <w:rStyle w:val="1_175525"/>
          <w:rFonts w:ascii="Times New Roman" w:hAnsi="Times New Roman" w:cs="Times New Roman"/>
          <w:szCs w:val="24"/>
          <w:highlight w:val="white"/>
        </w:rPr>
        <w:t xml:space="preserve">В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соответствии со Стандартом развития конкуренции в субъектах Российской Федерации,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утвержденным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распоряжением Правительства Российской Федераци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 от 17 апреля 2019 года № 768-р, на основании распоряжения главы администрации (губернатора) Краснодарского края от 16 декабря 2019 года №416-р «Об утверждении плана мероприятий («дорожная карта») по содействию развитию конкуренции в Краснодарском крае», </w:t>
      </w:r>
      <w:r>
        <w:rPr>
          <w:rFonts w:ascii="Times New Roman" w:hAnsi="Times New Roman" w:cs="Times New Roman"/>
          <w:spacing w:val="-1"/>
          <w:sz w:val="24"/>
          <w:szCs w:val="24"/>
          <w:highlight w:val="white"/>
        </w:rPr>
        <w:t xml:space="preserve">в целях реализации мероприятий по внедрению стандарта развития конкуренции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муниципальном образовании Ленинградский муниципальный округ, распоряжением администрации муниципального образования Ленинградский район от 31 декабря 2019 года № 284-р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утвержден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план мероприятий («дорожная карта») по содействию развитию конкуренции в муниципальном образовании Ленинградский район (с изменениями от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12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01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.202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г. №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6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-р, от14.02.2025 № 98-р, от 30.12.2025 № 646-р), со значениями целевых показателей по факту 2022 года и на плановый период до 2025 года,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мероприятия стратегических, программных и иных документов, реализация которых оказывает влияние на состояние конкуренции на товарных рынках муниципального образования Ленинградский муниципальный округ, а также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перечень ключевых показателей развития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конкуренции к 1 января 2026 г. в муниципальном образовании Ленинградский муниципальный округ. План мероприятий разработан с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учетом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проанализированных резуль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татов мониторинга проведения оценки эффективности деятельности органов местного самоуправления муниципального образования Ленинградский муниципальный округ по содействию развитию конкуренции и обеспечению условий для формирования благоприятного инвестиционного климата. </w:t>
      </w:r>
      <w:bookmarkEnd w:id="0"/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Сведения о достижении целевых значений: контрольных показателей эффективности, установленных в плане мероприятий («дорожной карте») по содействию развитию конкуренции в муниципальном образовании Ленинградский муниципальный округ;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мероприятий стратегических, программных и иных документов, реализация которых оказывает влияние на состояние конкуренции на товарных рынках муниципального образования Ленинградский муниципальный округ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приложении № 2 к данному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отчету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Раздел 6. Сведения о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муниципальных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практиках содействия развитию конкуренции,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внедренных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в муниципальном образовании 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br/>
        <w:t xml:space="preserve">в 202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 году.</w:t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Приоритетным направлением динамичного экономического разви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тия муниципального образования Ленинградский муниципальный округ является привлечение инвестиций. Администрация муниципального образования Ленинградский муниципальный округ проводит активную политику, направленную на формирование благоприятного инвестиционного климата и привлечение капитала в экономику.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Ленинградский муниципальный округ расположен на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Приазово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-Кубанской равнине в северной зоне Краснодарского края, имеющей наиболее высокий аграрный потенциал.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Основу экономического потенциала Ленинградского муниципального округа составляет агропромышленный комплекс — сельское хозяйство и пере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  <w:t xml:space="preserve">рабатывающая промышленность, на которые приходится более 80 % оборота продукции. Агропромышленный комплекс округа обладает мощной производственно- технической базой. По уровню развития аграрного сектора экономики округ занимает одно из ведущих мест в крае.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eastAsia="ru-RU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202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5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 целью создания условий для вовлечения детей  и их семей в культурную жизнь Российской Федерации, Краснодарского края и муниципального округа применялась муниципальная практика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Формирование культурных потребностей у дошкольника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», а также с целью формирования предпосылок инженерного мышления дошкольников с ОВЗ применялась муниципальная практика «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Формирование предпосылок инженерного мышления у дошкольников с ОВЗ посредствам включения в деятельность технопарка в детском саду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».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pStyle w:val="1_168574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1_168574"/>
        <w:jc w:val="both"/>
        <w:spacing w:before="0" w:beforeAutospacing="0" w:after="0" w:afterAutospacing="0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1_168574"/>
        <w:jc w:val="both"/>
        <w:spacing w:before="0" w:beforeAutospacing="0" w:after="0" w:afterAutospacing="0"/>
        <w:rPr>
          <w:highlight w:val="white"/>
        </w:rPr>
      </w:pPr>
      <w:r>
        <w:rPr>
          <w:sz w:val="28"/>
          <w:szCs w:val="28"/>
          <w:highlight w:val="white"/>
        </w:rPr>
        <w:t xml:space="preserve">З</w:t>
      </w:r>
      <w:r>
        <w:rPr>
          <w:sz w:val="28"/>
          <w:szCs w:val="28"/>
          <w:highlight w:val="white"/>
        </w:rPr>
        <w:t xml:space="preserve">аместитель главы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_168574"/>
        <w:jc w:val="both"/>
        <w:spacing w:before="0" w:beforeAutospacing="0" w:after="0" w:afterAutospacing="0"/>
        <w:rPr>
          <w:highlight w:val="white"/>
        </w:rPr>
      </w:pPr>
      <w:r>
        <w:rPr>
          <w:sz w:val="28"/>
          <w:szCs w:val="28"/>
          <w:highlight w:val="white"/>
        </w:rPr>
        <w:t xml:space="preserve">Ленинградского муниципального округа,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_168574"/>
        <w:jc w:val="both"/>
        <w:spacing w:before="0" w:beforeAutospacing="0" w:after="0" w:afterAutospacing="0"/>
        <w:rPr>
          <w:highlight w:val="white"/>
        </w:rPr>
      </w:pPr>
      <w:r>
        <w:rPr>
          <w:sz w:val="28"/>
          <w:szCs w:val="28"/>
          <w:highlight w:val="white"/>
        </w:rPr>
        <w:t xml:space="preserve">начальник финансового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_168574"/>
        <w:jc w:val="both"/>
        <w:spacing w:before="0" w:beforeAutospacing="0" w:after="0" w:afterAutospacing="0"/>
        <w:tabs>
          <w:tab w:val="left" w:pos="7937" w:leader="none"/>
          <w:tab w:val="left" w:pos="8079" w:leader="none"/>
          <w:tab w:val="left" w:pos="8646" w:leader="none"/>
          <w:tab w:val="left" w:pos="9071" w:leader="none"/>
          <w:tab w:val="left" w:pos="9354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администрации</w:t>
      </w:r>
      <w:r>
        <w:rPr>
          <w:sz w:val="28"/>
          <w:szCs w:val="28"/>
          <w:highlight w:val="white"/>
        </w:rPr>
        <w:t xml:space="preserve">                 </w:t>
      </w:r>
      <w:r>
        <w:rPr>
          <w:sz w:val="28"/>
          <w:szCs w:val="28"/>
          <w:highlight w:val="white"/>
        </w:rPr>
        <w:t xml:space="preserve">                                                   С.В. Тертица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1134" w:left="1701" w:header="709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Times New Roman">
    <w:panose1 w:val="02020603050405020304"/>
  </w:font>
  <w:font w:name="Segoe UI">
    <w:panose1 w:val="020B0502040504020204"/>
  </w:font>
  <w:font w:name="SimSun">
    <w:panose1 w:val="0200050600000002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6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ascii="Times New Roman" w:hAnsi="Times New Roman" w:eastAsia="Times New Roman" w:cs="Mangal"/>
      </w:rPr>
    </w:lvl>
    <w:lvl w:ilvl="1">
      <w:start w:val="3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  <w:widowControl/>
      </w:pPr>
    </w:lvl>
    <w:lvl w:ilvl="2">
      <w:start w:val="6"/>
      <w:numFmt w:val="decimal"/>
      <w:isLgl w:val="false"/>
      <w:suff w:val="tab"/>
      <w:lvlText w:val="%1.%2.%3."/>
      <w:lvlJc w:val="left"/>
      <w:pPr>
        <w:ind w:left="1080" w:hanging="720"/>
        <w:widowControl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  <w:widowControl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  <w:widowControl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  <w:widowControl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  <w:widowControl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  <w:widowControl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  <w:widowControl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6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2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9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paragraph" w:styleId="13">
    <w:name w:val="Heading 1"/>
    <w:basedOn w:val="659"/>
    <w:next w:val="65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9"/>
    <w:next w:val="65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9"/>
    <w:next w:val="65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9"/>
    <w:next w:val="65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9"/>
    <w:next w:val="65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9"/>
    <w:next w:val="65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9"/>
    <w:next w:val="65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9"/>
    <w:next w:val="65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9"/>
    <w:next w:val="65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9"/>
    <w:next w:val="65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0"/>
    <w:link w:val="34"/>
    <w:uiPriority w:val="10"/>
    <w:rPr>
      <w:sz w:val="48"/>
      <w:szCs w:val="48"/>
    </w:rPr>
  </w:style>
  <w:style w:type="paragraph" w:styleId="36">
    <w:name w:val="Subtitle"/>
    <w:basedOn w:val="659"/>
    <w:next w:val="65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0"/>
    <w:link w:val="36"/>
    <w:uiPriority w:val="11"/>
    <w:rPr>
      <w:sz w:val="24"/>
      <w:szCs w:val="24"/>
    </w:rPr>
  </w:style>
  <w:style w:type="paragraph" w:styleId="38">
    <w:name w:val="Quote"/>
    <w:basedOn w:val="659"/>
    <w:next w:val="65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9"/>
    <w:next w:val="65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0"/>
    <w:link w:val="674"/>
    <w:uiPriority w:val="99"/>
  </w:style>
  <w:style w:type="character" w:styleId="45">
    <w:name w:val="Footer Char"/>
    <w:basedOn w:val="660"/>
    <w:link w:val="677"/>
    <w:uiPriority w:val="99"/>
  </w:style>
  <w:style w:type="character" w:styleId="47">
    <w:name w:val="Caption Char"/>
    <w:basedOn w:val="669"/>
    <w:link w:val="677"/>
    <w:uiPriority w:val="99"/>
  </w:style>
  <w:style w:type="table" w:styleId="49">
    <w:name w:val="Table Grid Light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8"/>
    <w:uiPriority w:val="99"/>
    <w:rPr>
      <w:sz w:val="18"/>
    </w:rPr>
  </w:style>
  <w:style w:type="character" w:styleId="177">
    <w:name w:val="footnote reference"/>
    <w:basedOn w:val="660"/>
    <w:uiPriority w:val="99"/>
    <w:unhideWhenUsed/>
    <w:rPr>
      <w:vertAlign w:val="superscript"/>
    </w:rPr>
  </w:style>
  <w:style w:type="paragraph" w:styleId="178">
    <w:name w:val="endnote text"/>
    <w:basedOn w:val="65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0"/>
    <w:uiPriority w:val="99"/>
    <w:semiHidden/>
    <w:unhideWhenUsed/>
    <w:rPr>
      <w:vertAlign w:val="superscript"/>
    </w:rPr>
  </w:style>
  <w:style w:type="paragraph" w:styleId="181">
    <w:name w:val="toc 1"/>
    <w:basedOn w:val="659"/>
    <w:next w:val="65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9"/>
    <w:next w:val="65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9"/>
    <w:next w:val="65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9"/>
    <w:next w:val="65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9"/>
    <w:next w:val="65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9"/>
    <w:next w:val="65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9"/>
    <w:next w:val="65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9"/>
    <w:next w:val="65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9"/>
    <w:next w:val="65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9"/>
    <w:next w:val="659"/>
    <w:uiPriority w:val="99"/>
    <w:unhideWhenUsed/>
    <w:pPr>
      <w:spacing w:after="0" w:afterAutospacing="0"/>
    </w:pPr>
  </w:style>
  <w:style w:type="paragraph" w:styleId="659" w:default="1">
    <w:name w:val="Normal"/>
    <w:qFormat/>
    <w:pPr>
      <w:jc w:val="left"/>
      <w:spacing w:before="0" w:after="160" w:line="252" w:lineRule="auto"/>
      <w:widowControl/>
    </w:pPr>
    <w:rPr>
      <w:rFonts w:ascii="Calibri" w:hAnsi="Calibri" w:eastAsia="SimSun" w:cs="Calibri" w:asciiTheme="minorHAnsi" w:hAnsiTheme="minorHAnsi"/>
      <w:color w:val="auto"/>
      <w:sz w:val="22"/>
      <w:szCs w:val="22"/>
      <w:lang w:val="ru-RU" w:eastAsia="ar-SA" w:bidi="ar-SA"/>
    </w:rPr>
  </w:style>
  <w:style w:type="character" w:styleId="660" w:default="1">
    <w:name w:val="Default Paragraph Font"/>
    <w:uiPriority w:val="1"/>
    <w:semiHidden/>
    <w:unhideWhenUsed/>
    <w:qFormat/>
  </w:style>
  <w:style w:type="character" w:styleId="661" w:customStyle="1">
    <w:name w:val="Основной шрифт абзаца1"/>
    <w:qFormat/>
  </w:style>
  <w:style w:type="character" w:styleId="662" w:customStyle="1">
    <w:name w:val="Текст выноски Знак"/>
    <w:basedOn w:val="660"/>
    <w:link w:val="672"/>
    <w:uiPriority w:val="99"/>
    <w:semiHidden/>
    <w:qFormat/>
    <w:rPr>
      <w:rFonts w:ascii="Segoe UI" w:hAnsi="Segoe UI" w:eastAsia="SimSun" w:cs="Segoe UI"/>
      <w:sz w:val="18"/>
      <w:szCs w:val="18"/>
      <w:lang w:eastAsia="ar-SA"/>
    </w:rPr>
  </w:style>
  <w:style w:type="character" w:styleId="663" w:customStyle="1">
    <w:name w:val="Верхний колонтитул Знак"/>
    <w:basedOn w:val="660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64" w:customStyle="1">
    <w:name w:val="Нижний колонтитул Знак"/>
    <w:basedOn w:val="660"/>
    <w:uiPriority w:val="99"/>
    <w:qFormat/>
    <w:rPr>
      <w:rFonts w:ascii="Calibri" w:hAnsi="Calibri" w:eastAsia="SimSun" w:cs="Calibri"/>
      <w:lang w:eastAsia="ar-SA"/>
    </w:rPr>
  </w:style>
  <w:style w:type="character" w:styleId="665" w:customStyle="1">
    <w:name w:val="Текст сноски Знак"/>
    <w:basedOn w:val="660"/>
    <w:uiPriority w:val="99"/>
    <w:qFormat/>
    <w:rPr>
      <w:sz w:val="20"/>
      <w:szCs w:val="20"/>
    </w:rPr>
  </w:style>
  <w:style w:type="paragraph" w:styleId="666">
    <w:name w:val="Заголовок"/>
    <w:basedOn w:val="659"/>
    <w:next w:val="667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67">
    <w:name w:val="Body Text"/>
    <w:basedOn w:val="659"/>
    <w:pPr>
      <w:spacing w:before="0" w:after="140" w:line="276" w:lineRule="auto"/>
    </w:pPr>
  </w:style>
  <w:style w:type="paragraph" w:styleId="668">
    <w:name w:val="List"/>
    <w:basedOn w:val="667"/>
    <w:rPr>
      <w:rFonts w:cs="Noto Sans"/>
    </w:rPr>
  </w:style>
  <w:style w:type="paragraph" w:styleId="669">
    <w:name w:val="Caption"/>
    <w:basedOn w:val="659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70">
    <w:name w:val="Указатель"/>
    <w:basedOn w:val="659"/>
    <w:qFormat/>
    <w:pPr>
      <w:suppressLineNumbers/>
    </w:pPr>
    <w:rPr>
      <w:rFonts w:cs="Noto Sans"/>
    </w:rPr>
  </w:style>
  <w:style w:type="paragraph" w:styleId="671" w:customStyle="1">
    <w:name w:val="ConsPlusNormal"/>
    <w:qFormat/>
    <w:pPr>
      <w:jc w:val="left"/>
      <w:spacing w:before="0" w:after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672">
    <w:name w:val="Balloon Text"/>
    <w:basedOn w:val="659"/>
    <w:link w:val="662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73">
    <w:name w:val="Колонтитулы"/>
    <w:basedOn w:val="659"/>
    <w:qFormat/>
  </w:style>
  <w:style w:type="paragraph" w:styleId="674">
    <w:name w:val="Header"/>
    <w:basedOn w:val="659"/>
    <w:link w:val="663"/>
    <w:uiPriority w:val="99"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5">
    <w:name w:val="List Paragraph"/>
    <w:basedOn w:val="659"/>
    <w:uiPriority w:val="34"/>
    <w:qFormat/>
    <w:pPr>
      <w:contextualSpacing/>
      <w:ind w:left="720"/>
      <w:spacing w:before="0" w:after="160"/>
    </w:pPr>
  </w:style>
  <w:style w:type="paragraph" w:styleId="676" w:customStyle="1">
    <w:name w:val="Default"/>
    <w:qFormat/>
    <w:pPr>
      <w:jc w:val="left"/>
      <w:spacing w:before="0" w:after="0" w:line="240" w:lineRule="auto"/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styleId="677">
    <w:name w:val="Footer"/>
    <w:basedOn w:val="659"/>
    <w:link w:val="66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78">
    <w:name w:val="footnote text"/>
    <w:basedOn w:val="659"/>
    <w:link w:val="665"/>
    <w:uiPriority w:val="99"/>
    <w:unhideWhenUsed/>
    <w:pPr>
      <w:spacing w:before="0" w:after="0" w:line="240" w:lineRule="auto"/>
    </w:pPr>
    <w:rPr>
      <w:rFonts w:ascii="Calibri" w:hAnsi="Calibri" w:eastAsia="Calibri" w:asciiTheme="minorHAnsi" w:hAnsiTheme="minorHAnsi" w:eastAsiaTheme="minorHAnsi" w:cstheme="minorBidi"/>
      <w:sz w:val="20"/>
      <w:szCs w:val="20"/>
      <w:lang w:eastAsia="en-US"/>
    </w:rPr>
  </w:style>
  <w:style w:type="numbering" w:styleId="679" w:default="1">
    <w:name w:val="Без списка"/>
    <w:uiPriority w:val="99"/>
    <w:semiHidden/>
    <w:unhideWhenUsed/>
    <w:qFormat/>
  </w:style>
  <w:style w:type="table" w:styleId="68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"/>
    <w:basedOn w:val="68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98288" w:customStyle="1">
    <w:name w:val="Основной текст1"/>
    <w:basedOn w:val="637"/>
    <w:link w:val="69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99478" w:customStyle="1">
    <w:name w:val="Без интервала"/>
    <w:next w:val="956"/>
    <w:link w:val="870"/>
    <w:uiPriority w:val="1"/>
    <w:qFormat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68574" w:customStyle="1">
    <w:name w:val="Normal (Web)"/>
    <w:basedOn w:val="700"/>
    <w:uiPriority w:val="99"/>
    <w:qFormat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_175525" w:customStyle="1">
    <w:name w:val="Цветовое выделение для Текст"/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chart" Target="charts/chart1.xml" /><Relationship Id="rId14" Type="http://schemas.openxmlformats.org/officeDocument/2006/relationships/chart" Target="charts/chart2.xml" /><Relationship Id="rId15" Type="http://schemas.openxmlformats.org/officeDocument/2006/relationships/chart" Target="charts/chart3.xml" /><Relationship Id="rId16" Type="http://schemas.openxmlformats.org/officeDocument/2006/relationships/chart" Target="charts/chart4.xml" /><Relationship Id="rId17" Type="http://schemas.openxmlformats.org/officeDocument/2006/relationships/chart" Target="charts/chart5.xml" /><Relationship Id="rId18" Type="http://schemas.openxmlformats.org/officeDocument/2006/relationships/chart" Target="charts/chart6.xml" /><Relationship Id="rId19" Type="http://schemas.openxmlformats.org/officeDocument/2006/relationships/chart" Target="charts/chart7.xml" /><Relationship Id="rId20" Type="http://schemas.openxmlformats.org/officeDocument/2006/relationships/chart" Target="charts/chart8.xml" /><Relationship Id="rId21" Type="http://schemas.openxmlformats.org/officeDocument/2006/relationships/chart" Target="charts/chart9.xml" /><Relationship Id="rId22" Type="http://schemas.openxmlformats.org/officeDocument/2006/relationships/chart" Target="charts/chart10.xml" /><Relationship Id="rId23" Type="http://schemas.openxmlformats.org/officeDocument/2006/relationships/chart" Target="charts/chart11.xml" /><Relationship Id="rId24" Type="http://schemas.openxmlformats.org/officeDocument/2006/relationships/chart" Target="charts/chart12.xml" /><Relationship Id="rId25" Type="http://schemas.openxmlformats.org/officeDocument/2006/relationships/chart" Target="charts/chart13.xml" /><Relationship Id="rId26" Type="http://schemas.openxmlformats.org/officeDocument/2006/relationships/chart" Target="charts/chart14.xml" /><Relationship Id="rId27" Type="http://schemas.openxmlformats.org/officeDocument/2006/relationships/chart" Target="charts/chart15.xml" /><Relationship Id="rId28" Type="http://schemas.openxmlformats.org/officeDocument/2006/relationships/chart" Target="charts/chart16.xml" /><Relationship Id="rId29" Type="http://schemas.openxmlformats.org/officeDocument/2006/relationships/chart" Target="charts/chart17.xml" /><Relationship Id="rId30" Type="http://schemas.openxmlformats.org/officeDocument/2006/relationships/chart" Target="charts/chart18.xml" /><Relationship Id="rId31" Type="http://schemas.openxmlformats.org/officeDocument/2006/relationships/chart" Target="charts/chart19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openxmlformats.org/officeDocument/2006/relationships/themeOverride" Target="../theme/themeOverride1.xml" /><Relationship Id="rId2" Type="http://schemas.openxmlformats.org/officeDocument/2006/relationships/package" Target="../embeddings/Microsoft_Excel_Worksheet1.xlsx" /></Relationships>
</file>

<file path=word/charts/_rels/chart10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0.xlsx" /></Relationships>
</file>

<file path=word/charts/_rels/chart11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1.xlsx" /></Relationships>
</file>

<file path=word/charts/_rels/chart12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2.xlsx" /></Relationships>
</file>

<file path=word/charts/_rels/chart13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3.xlsx" /></Relationships>
</file>

<file path=word/charts/_rels/chart14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4.xlsx" /></Relationships>
</file>

<file path=word/charts/_rels/chart1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5.xlsx" /></Relationships>
</file>

<file path=word/charts/_rels/chart1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6.xlsx" /></Relationships>
</file>

<file path=word/charts/_rels/chart17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7.xlsx" /></Relationships>
</file>

<file path=word/charts/_rels/chart18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8.xlsx" /></Relationships>
</file>

<file path=word/charts/_rels/chart19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9.xlsx" /></Relationships>
</file>

<file path=word/charts/_rels/chart2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.xlsx" /></Relationships>
</file>

<file path=word/charts/_rels/chart3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3.xlsx" /></Relationships>
</file>

<file path=word/charts/_rels/chart4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4.xlsx" /></Relationships>
</file>

<file path=word/charts/_rels/chart5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5.xlsx" /></Relationships>
</file>

<file path=word/charts/_rels/chart6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6.xlsx" /></Relationships>
</file>

<file path=word/charts/_rels/chart7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7.xlsx" /></Relationships>
</file>

<file path=word/charts/_rels/chart8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8.xlsx" /></Relationships>
</file>

<file path=word/charts/_rels/chart9.xml.rels>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9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4410"/>
          <c:y val="0.405920"/>
          <c:w val="0.11263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  <c:explosion val="3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-0.034340"/>
                  <c:y val="-0.08008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layout>
                <c:manualLayout>
                  <c:x val="0.035000"/>
                  <c:y val="0.04326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66640"/>
                  <c:y val="-0.00448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3%</a:t>
                    </a:r>
                    <a:endParaRPr/>
                  </a:p>
                </c:rich>
              </c:tx>
            </c:dLbl>
            <c:dLbl>
              <c:idx val="2"/>
              <c:dLblPos val="bestFit"/>
              <c:layout>
                <c:manualLayout>
                  <c:x val="-0.056380"/>
                  <c:y val="-0.11887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55</c:v>
                </c:pt>
                <c:pt idx="1">
                  <c:v>3</c:v>
                </c:pt>
                <c:pt idx="2">
                  <c:v>227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586670"/>
          <c:y val="0.260990"/>
          <c:w val="0.395850"/>
          <c:h val="0.63842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088347" cy="818645"/>
    </a:xfrm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20280"/>
                  <c:y val="0.06154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109280"/>
                  <c:y val="0.0446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-0.003820"/>
                  <c:y val="0.2780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28</c:v>
                </c:pt>
                <c:pt idx="1">
                  <c:v>100</c:v>
                </c:pt>
                <c:pt idx="2">
                  <c:v>72</c:v>
                </c:pt>
                <c:pt idx="3">
                  <c:v>85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981791" cy="959313"/>
    </a:xfrm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71600"/>
                  <c:y val="0.20516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11%</a:t>
                    </a:r>
                    <a:endParaRPr/>
                  </a:p>
                </c:rich>
              </c:tx>
            </c:dLbl>
            <c:dLbl>
              <c:idx val="2"/>
              <c:layout>
                <c:manualLayout>
                  <c:x val="-0.030890"/>
                  <c:y val="-0.0368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28%</a:t>
                    </a:r>
                    <a:endParaRPr/>
                  </a:p>
                </c:rich>
              </c:tx>
            </c:dLbl>
            <c:dLbl>
              <c:idx val="1"/>
              <c:dLblPos val="bestFit"/>
              <c:layout>
                <c:manualLayout>
                  <c:x val="0.048800"/>
                  <c:y val="-0.1220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3"/>
              <c:dLblPos val="bestFit"/>
              <c:layout>
                <c:manualLayout>
                  <c:x val="0.000000"/>
                  <c:y val="0.00000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27%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59</c:v>
                </c:pt>
                <c:pt idx="1">
                  <c:v>120</c:v>
                </c:pt>
                <c:pt idx="2">
                  <c:v>63</c:v>
                </c:pt>
                <c:pt idx="3">
                  <c:v>113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0" cy="0"/>
    </a:xfrm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70180"/>
                  <c:y val="0.10084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74350"/>
                  <c:y val="-0.06655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22720"/>
                  <c:y val="0.13310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26850"/>
                  <c:y val="0.1863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58</c:v>
                </c:pt>
                <c:pt idx="1">
                  <c:v>8</c:v>
                </c:pt>
                <c:pt idx="2">
                  <c:v>219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671040"/>
          <c:y val="0.239950"/>
          <c:w val="0.300830"/>
          <c:h val="0.61904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872035" cy="715617"/>
    </a:xfrm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9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57740"/>
                  <c:y val="0.2690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0.079990"/>
                  <c:y val="-0.4821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-0.199220"/>
                  <c:y val="0.29682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</c:v>
                </c:pt>
                <c:pt idx="1">
                  <c:v>95</c:v>
                </c:pt>
                <c:pt idx="2">
                  <c:v>74</c:v>
                </c:pt>
                <c:pt idx="3">
                  <c:v>86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067910" cy="898495"/>
    </a:xfrm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09710"/>
                  <c:y val="-0.10374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0"/>
              <c:dLblPos val="bestFit"/>
              <c:layout>
                <c:manualLayout>
                  <c:x val="0.039160"/>
                  <c:y val="0.15267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55650"/>
                  <c:y val="0.03523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65</c:v>
                </c:pt>
                <c:pt idx="1">
                  <c:v>81</c:v>
                </c:pt>
                <c:pt idx="2">
                  <c:v>139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016793" cy="811031"/>
    </a:xfrm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53520"/>
                  <c:y val="0.30673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0.059760"/>
                  <c:y val="0.0403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-0.026660"/>
                  <c:y val="-0.29138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83</c:v>
                </c:pt>
                <c:pt idx="2">
                  <c:v>68</c:v>
                </c:pt>
                <c:pt idx="3">
                  <c:v>112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358105" cy="882594"/>
    </a:xfrm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39300"/>
                  <c:y val="0.04090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43430"/>
                  <c:y val="0.0123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21710"/>
                  <c:y val="0.24699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23520"/>
                  <c:y val="0.1852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55</c:v>
                </c:pt>
                <c:pt idx="1">
                  <c:v>5</c:v>
                </c:pt>
                <c:pt idx="2">
                  <c:v>226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263174" cy="700589"/>
    </a:xfrm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49070"/>
                  <c:y val="0.13190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14%</a:t>
                    </a:r>
                    <a:endParaRPr/>
                  </a:p>
                </c:rich>
              </c:tx>
            </c:dLbl>
            <c:dLbl>
              <c:idx val="2"/>
              <c:layout>
                <c:manualLayout>
                  <c:x val="-0.030890"/>
                  <c:y val="-0.0368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28%</a:t>
                    </a:r>
                    <a:endParaRPr/>
                  </a:p>
                </c:rich>
              </c:tx>
            </c:dLbl>
            <c:dLbl>
              <c:idx val="1"/>
              <c:dLblPos val="bestFit"/>
              <c:layout/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36%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3"/>
              <c:dLblPos val="bestFit"/>
              <c:layout/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22%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61</c:v>
                </c:pt>
                <c:pt idx="1">
                  <c:v>124</c:v>
                </c:pt>
                <c:pt idx="2">
                  <c:v>81</c:v>
                </c:pt>
                <c:pt idx="3">
                  <c:v>85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705984" cy="834886"/>
    </a:xfrm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14510"/>
                  <c:y val="0.01740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4"/>
              <c:layout>
                <c:manualLayout>
                  <c:x val="0.004750"/>
                  <c:y val="-0.02704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57960"/>
                  <c:y val="0.0378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75%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08580"/>
                  <c:y val="0.22708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1%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30050"/>
                  <c:y val="0.18923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24%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Услуга отсутствует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81</c:v>
                </c:pt>
                <c:pt idx="1">
                  <c:v>17</c:v>
                </c:pt>
                <c:pt idx="2">
                  <c:v>253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/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956014" cy="755014"/>
    </a:xfrm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8580"/>
                  <c:y val="0.10916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  <c:tx>
                <c:rich>
                  <a:bodyPr/>
                  <a:p>
                    <a:pPr>
                      <a:defRPr/>
                    </a:pPr>
                    <a:r>
                      <a:rPr/>
                      <a:t>24%</a:t>
                    </a:r>
                    <a:endParaRPr/>
                  </a:p>
                </c:rich>
              </c:tx>
            </c:dLbl>
            <c:dLbl>
              <c:idx val="2"/>
              <c:layout>
                <c:manualLayout>
                  <c:x val="-0.098320"/>
                  <c:y val="-0.0368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/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26%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/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b="1"/>
                    </a:pPr>
                    <a:r>
                      <a:rPr/>
                      <a:t>7%</a:t>
                    </a:r>
                    <a:endParaRPr/>
                  </a:p>
                </c:rich>
              </c:tx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27</c:v>
                </c:pt>
                <c:pt idx="1">
                  <c:v>64</c:v>
                </c:pt>
                <c:pt idx="2">
                  <c:v>150</c:v>
                </c:pt>
                <c:pt idx="3">
                  <c:v>110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0" cy="0"/>
    </a:xfrm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14100"/>
          <c:y val="0.345190"/>
          <c:w val="0.0944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12630"/>
                  <c:y val="-0.0278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016560"/>
                  <c:y val="0.11251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0.052110"/>
                  <c:y val="0.0452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повысился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109</c:v>
                </c:pt>
                <c:pt idx="2">
                  <c:v>75</c:v>
                </c:pt>
                <c:pt idx="3">
                  <c:v>51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173049" cy="858644"/>
    </a:xfrm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8790"/>
          <c:y val="0.273650"/>
          <c:w val="0.09946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49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-0.145540"/>
                  <c:y val="0.0485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02430"/>
                  <c:y val="-0.0109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0.028000"/>
                  <c:y val="0.00000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2"/>
              <c:dLblPos val="bestFit"/>
              <c:layout>
                <c:manualLayout>
                  <c:x val="-0.038530"/>
                  <c:y val="0.07116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64</c:v>
                </c:pt>
                <c:pt idx="1">
                  <c:v>6</c:v>
                </c:pt>
                <c:pt idx="2">
                  <c:v>215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24240"/>
          <c:y val="0.191000"/>
          <c:w val="0.217800"/>
          <c:h val="0.57022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190903" cy="772919"/>
    </a:xfrm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63970"/>
                  <c:y val="0.44515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116550"/>
                  <c:y val="-0.0368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51030"/>
                  <c:y val="0.11578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-0.007020"/>
                  <c:y val="-0.22573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37</c:v>
                </c:pt>
                <c:pt idx="1">
                  <c:v>76</c:v>
                </c:pt>
                <c:pt idx="2">
                  <c:v>111</c:v>
                </c:pt>
                <c:pt idx="3">
                  <c:v>61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34011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422999" cy="759519"/>
    </a:xfrm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6230"/>
          <c:y val="0.367440"/>
          <c:w val="0.1310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-0.031720"/>
                  <c:y val="0.00365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57450"/>
                  <c:y val="-0.13376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29710"/>
                  <c:y val="0.1226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09900"/>
                  <c:y val="0.03344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71</c:v>
                </c:pt>
                <c:pt idx="1">
                  <c:v>11</c:v>
                </c:pt>
                <c:pt idx="2">
                  <c:v>192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98080"/>
          <c:y val="0.326580"/>
          <c:w val="0.384930"/>
          <c:h val="0.62830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808047" cy="854474"/>
    </a:xfrm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24110"/>
                  <c:y val="0.04218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120830"/>
                  <c:y val="-0.02687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3"/>
              <c:dLblPos val="bestFit"/>
              <c:layout>
                <c:manualLayout>
                  <c:x val="-0.030610"/>
                  <c:y val="0.03000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4"/>
                <c:pt idx="0">
                  <c:v xml:space="preserve">Уровень повысился</c:v>
                </c:pt>
                <c:pt idx="1">
                  <c:v xml:space="preserve">Уровень снизился</c:v>
                </c:pt>
                <c:pt idx="2">
                  <c:v xml:space="preserve">Уровень не изменился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51</c:v>
                </c:pt>
                <c:pt idx="2">
                  <c:v>93</c:v>
                </c:pt>
                <c:pt idx="3">
                  <c:v>53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977723" cy="902396"/>
    </a:xfrm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0.002090"/>
                  <c:y val="0.03499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82970"/>
                  <c:y val="0.05128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37140"/>
                  <c:y val="0.12897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19350"/>
                  <c:y val="0.13318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93</c:v>
                </c:pt>
                <c:pt idx="1">
                  <c:v>10</c:v>
                </c:pt>
                <c:pt idx="2">
                  <c:v>182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88710"/>
          <c:y val="0.339920"/>
          <c:w val="0.394260"/>
          <c:h val="0.57997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920273" cy="858235"/>
    </a:xfrm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00540"/>
          <c:y val="0.367800"/>
          <c:w val="0.696520"/>
          <c:h val="0.512020"/>
        </c:manualLayout>
      </c:layout>
      <c:pie3DChart>
        <c:varyColors val="1"/>
        <c:ser>
          <c:idx val="0"/>
          <c:order val="0"/>
          <c:tx>
            <c:strRef>
              <c:f>'Лист1'!$B$1</c:f>
              <c:strCache>
                <c:ptCount val="1"/>
                <c:pt idx="0">
                  <c:v xml:space="preserve">Качество услуг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layout>
                <c:manualLayout>
                  <c:x val="0.031280"/>
                  <c:y val="0.04910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layout>
                <c:manualLayout>
                  <c:x val="-0.120410"/>
                  <c:y val="-0.01489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1"/>
              <c:dLblPos val="bestFit"/>
              <c:layout>
                <c:manualLayout>
                  <c:x val="0.000000"/>
                  <c:y val="0.1866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'Лист1'!$A$2:$A$5</c:f>
              <c:strCache>
                <c:ptCount val="4"/>
                <c:pt idx="0">
                  <c:v xml:space="preserve">Уровень снизился</c:v>
                </c:pt>
                <c:pt idx="1">
                  <c:v xml:space="preserve">Уровень не изменился</c:v>
                </c:pt>
                <c:pt idx="2">
                  <c:v xml:space="preserve">Уровень повысился</c:v>
                </c:pt>
                <c:pt idx="3">
                  <c:v xml:space="preserve">Затрудняюсь ответить</c:v>
                </c:pt>
              </c:strCache>
            </c:strRef>
          </c:cat>
          <c:val>
            <c:numRef>
              <c:f>'Лист1'!$B$2:$B$5</c:f>
              <c:numCache>
                <c:formatCode>General</c:formatCode>
                <c:ptCount val="4"/>
                <c:pt idx="0">
                  <c:v>42</c:v>
                </c:pt>
                <c:pt idx="1">
                  <c:v>89</c:v>
                </c:pt>
                <c:pt idx="2">
                  <c:v>85</c:v>
                </c:pt>
                <c:pt idx="3">
                  <c:v>69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406">
          <a:noFill/>
        </a:ln>
      </c:spPr>
    </c:plotArea>
    <c:legend>
      <c:legendPos val="r"/>
      <c:layout>
        <c:manualLayout>
          <c:xMode val="edge"/>
          <c:yMode val="edge"/>
          <c:x val="0.568400"/>
          <c:y val="0.195060"/>
          <c:w val="0.412690"/>
          <c:h val="0.66519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5107269" cy="864294"/>
    </a:xfrm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ru-RU"/>
  <c:roundedCorners val="0"/>
  <mc:AlternateContent>
    <mc:Choice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23430"/>
          <c:y val="0.012120"/>
        </c:manualLayout>
      </c:layout>
      <c:overlay val="0"/>
      <c:txPr>
        <a:bodyPr/>
        <a:lstStyle/>
        <a:p>
          <a:pPr>
            <a:defRPr sz="1200">
              <a:latin typeface="Times New Roman"/>
              <a:cs typeface="Times New Roman"/>
            </a:defRPr>
          </a:pPr>
          <a:endParaRPr lang="ru-RU"/>
        </a:p>
      </c:txPr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45440"/>
          <c:y val="0.305900"/>
          <c:w val="0.650540"/>
          <c:h val="0.472310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 xml:space="preserve">Количество организаций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3"/>
              <c:dLblPos val="bestFit"/>
              <c:layout>
                <c:manualLayout>
                  <c:x val="-0.009810"/>
                  <c:y val="0.023960"/>
                </c:manualLayout>
              </c:layout>
              <c:showBubbleSize val="0"/>
              <c:showCatName val="0"/>
              <c:showLegendKey val="0"/>
              <c:showPercent val="1"/>
              <c:showSerName val="0"/>
              <c:showVal val="0"/>
            </c:dLbl>
            <c:dLbl>
              <c:idx val="2"/>
              <c:dLblPos val="bestFit"/>
              <c:layout>
                <c:manualLayout>
                  <c:x val="-0.042120"/>
                  <c:y val="0.0430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0"/>
              <c:dLblPos val="bestFit"/>
              <c:layout>
                <c:manualLayout>
                  <c:x val="0.018050"/>
                  <c:y val="0.0645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dLbl>
              <c:idx val="1"/>
              <c:dLblPos val="bestFit"/>
              <c:layout>
                <c:manualLayout>
                  <c:x val="0.018050"/>
                  <c:y val="0.064510"/>
                </c:manualLayout>
              </c:layout>
              <c:numFmt formatCode="0.0%" sourceLinked="0"/>
              <c:showBubbleSize val="0"/>
              <c:showCatName val="0"/>
              <c:showLegendKey val="0"/>
              <c:showPercent val="1"/>
              <c:showSerName val="0"/>
              <c:showVal val="0"/>
              <c:spPr bwMode="auto">
                <a:prstGeom prst="rect">
                  <a:avLst/>
                </a:prstGeom>
                <a:noFill/>
                <a:ln>
                  <a:noFill/>
                  <a:miter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</c:dLbl>
            <c:numFmt formatCode="0.0%" sourceLinked="0"/>
            <c:showBubbleSize val="0"/>
            <c:showCatName val="0"/>
            <c:showLeaderLines val="1"/>
            <c:showLegendKey val="0"/>
            <c:showPercent val="1"/>
            <c:showSerName val="0"/>
            <c:showVal val="0"/>
            <c:spPr bwMode="auto">
              <a:prstGeom prst="rect">
                <a:avLst/>
              </a:prstGeom>
              <a:noFill/>
              <a:ln>
                <a:noFill/>
                <a:miter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</c:dLbls>
          <c:cat>
            <c:strRef>
              <c:f>Лист1!$A$2:$A$4</c:f>
              <c:strCache>
                <c:ptCount val="3"/>
                <c:pt idx="0">
                  <c:v>Мало</c:v>
                </c:pt>
                <c:pt idx="1">
                  <c:v xml:space="preserve">Нет совсем</c:v>
                </c:pt>
                <c:pt idx="2">
                  <c:v>Достаточно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92</c:v>
                </c:pt>
                <c:pt idx="1">
                  <c:v>6</c:v>
                </c:pt>
                <c:pt idx="2">
                  <c:v>187</c:v>
                </c:pt>
              </c:numCache>
            </c:numRef>
          </c:val>
        </c:ser>
        <c:dLbls>
          <c:showBubbleSize val="0"/>
          <c:showCatName val="0"/>
          <c:showLeaderLines val="1"/>
          <c:showLegendKey val="0"/>
          <c:showPercent val="0"/>
          <c:showSerName val="0"/>
          <c:showVal val="0"/>
        </c:dLbls>
      </c:pie3DChart>
      <c:spPr bwMode="auto">
        <a:prstGeom prst="rect">
          <a:avLst/>
        </a:prstGeom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597100"/>
          <c:y val="0.219500"/>
          <c:w val="0.385110"/>
          <c:h val="0.730150"/>
        </c:manualLayout>
      </c:layout>
      <c:overlay val="0"/>
      <c:txPr>
        <a:bodyPr/>
        <a:lstStyle/>
        <a:p>
          <a:pPr>
            <a:defRPr>
              <a:latin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 bwMode="auto">
    <a:xfrm>
      <a:off x="0" y="0"/>
      <a:ext cx="4748823" cy="885823"/>
    </a:xfrm>
  </c:spPr>
  <c:externalData r:id="rId1">
    <c:autoUpdate val="0"/>
  </c:externalData>
</c:chartSpac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 xmlns:r="http://schemas.openxmlformats.org/officeDocument/2006/relationships" xmlns:p="http://schemas.openxmlformats.org/presentation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0363D-D46D-4232-8A71-52E5CE4E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Шумко</dc:creator>
  <dc:description/>
  <dc:language>ru-RU</dc:language>
  <cp:revision>96</cp:revision>
  <dcterms:created xsi:type="dcterms:W3CDTF">2020-01-09T13:06:00Z</dcterms:created>
  <dcterms:modified xsi:type="dcterms:W3CDTF">2026-01-30T10:50:04Z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